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9FD32" w14:textId="77777777" w:rsidR="00CC05F3" w:rsidRPr="002C1EE6" w:rsidRDefault="00CC05F3" w:rsidP="00CC05F3">
      <w:pPr>
        <w:spacing w:after="120"/>
        <w:jc w:val="center"/>
        <w:rPr>
          <w:b/>
        </w:rPr>
      </w:pPr>
      <w:r w:rsidRPr="002C1EE6">
        <w:rPr>
          <w:b/>
          <w:noProof/>
          <w:lang w:eastAsia="en-NZ"/>
        </w:rPr>
        <w:drawing>
          <wp:inline distT="0" distB="0" distL="0" distR="0" wp14:anchorId="4BCBC0A8" wp14:editId="62AAD781">
            <wp:extent cx="3019895" cy="1272209"/>
            <wp:effectExtent l="0" t="0" r="0" b="4445"/>
            <wp:docPr id="5" name="Picture 5" descr="G:\Archive images\Waterwatch\WW logo revi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chive images\Waterwatch\WW logo revis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4767" cy="1278474"/>
                    </a:xfrm>
                    <a:prstGeom prst="rect">
                      <a:avLst/>
                    </a:prstGeom>
                    <a:noFill/>
                    <a:ln>
                      <a:noFill/>
                    </a:ln>
                  </pic:spPr>
                </pic:pic>
              </a:graphicData>
            </a:graphic>
          </wp:inline>
        </w:drawing>
      </w:r>
    </w:p>
    <w:p w14:paraId="59631B2A" w14:textId="77777777" w:rsidR="00631205" w:rsidRPr="00593410" w:rsidRDefault="00826BC3" w:rsidP="00B44BA8">
      <w:pPr>
        <w:spacing w:after="120"/>
        <w:jc w:val="center"/>
        <w:rPr>
          <w:b/>
          <w:color w:val="17365D" w:themeColor="text2" w:themeShade="BF"/>
          <w:sz w:val="36"/>
          <w:szCs w:val="36"/>
        </w:rPr>
      </w:pPr>
      <w:r w:rsidRPr="00593410">
        <w:rPr>
          <w:b/>
          <w:color w:val="17365D" w:themeColor="text2" w:themeShade="BF"/>
          <w:sz w:val="36"/>
          <w:szCs w:val="36"/>
        </w:rPr>
        <w:t>Introducing Waterwatch</w:t>
      </w:r>
    </w:p>
    <w:p w14:paraId="4A15F658" w14:textId="77777777" w:rsidR="00DC0A8D" w:rsidRPr="002C1EE6" w:rsidRDefault="00826BC3" w:rsidP="008D212D">
      <w:pPr>
        <w:spacing w:after="240"/>
        <w:jc w:val="both"/>
      </w:pPr>
      <w:r w:rsidRPr="002C1EE6">
        <w:t xml:space="preserve">For over </w:t>
      </w:r>
      <w:r w:rsidR="00CC24B7" w:rsidRPr="002C1EE6">
        <w:t>twenty years</w:t>
      </w:r>
      <w:r w:rsidR="007850EC">
        <w:t>, up to April 2017,</w:t>
      </w:r>
      <w:r w:rsidR="00CC24B7" w:rsidRPr="002C1EE6">
        <w:t xml:space="preserve"> Waterwatch </w:t>
      </w:r>
      <w:r w:rsidR="00E70FD9" w:rsidRPr="002C1EE6">
        <w:t>operated as</w:t>
      </w:r>
      <w:r w:rsidR="00DC0A8D" w:rsidRPr="002C1EE6">
        <w:t xml:space="preserve"> an </w:t>
      </w:r>
      <w:r w:rsidR="008E338D">
        <w:t xml:space="preserve">environmental </w:t>
      </w:r>
      <w:r w:rsidR="00DC0A8D" w:rsidRPr="002C1EE6">
        <w:t>outreach programme of Lincoln University for</w:t>
      </w:r>
      <w:r w:rsidR="0090325B">
        <w:t xml:space="preserve"> the benefit of</w:t>
      </w:r>
      <w:r w:rsidR="00DC0A8D" w:rsidRPr="002C1EE6">
        <w:t xml:space="preserve"> schools and communities</w:t>
      </w:r>
      <w:r w:rsidR="00EB3F7B" w:rsidRPr="002C1EE6">
        <w:t xml:space="preserve"> in Canterbury</w:t>
      </w:r>
      <w:r w:rsidR="002A12F6" w:rsidRPr="002C1EE6">
        <w:t xml:space="preserve">. </w:t>
      </w:r>
      <w:r w:rsidR="00425944">
        <w:t xml:space="preserve">Over this </w:t>
      </w:r>
      <w:r w:rsidR="00827E0C">
        <w:t>time,</w:t>
      </w:r>
      <w:r w:rsidR="00425944">
        <w:t xml:space="preserve"> we have taken</w:t>
      </w:r>
      <w:r w:rsidR="00C42040" w:rsidRPr="002C1EE6">
        <w:t xml:space="preserve"> </w:t>
      </w:r>
      <w:r w:rsidR="00647239">
        <w:t xml:space="preserve">hundreds of </w:t>
      </w:r>
      <w:r w:rsidR="00C42040" w:rsidRPr="002C1EE6">
        <w:t>groups to their local stream, river or pond</w:t>
      </w:r>
      <w:r w:rsidR="00DC0A8D" w:rsidRPr="002C1EE6">
        <w:t xml:space="preserve"> to assess</w:t>
      </w:r>
      <w:r w:rsidR="005515A1" w:rsidRPr="002C1EE6">
        <w:t xml:space="preserve"> its</w:t>
      </w:r>
      <w:r w:rsidR="00CA5CB7" w:rsidRPr="002C1EE6">
        <w:t xml:space="preserve"> </w:t>
      </w:r>
      <w:r w:rsidR="00DC0A8D" w:rsidRPr="002C1EE6">
        <w:t>condition</w:t>
      </w:r>
      <w:r w:rsidR="005515A1" w:rsidRPr="002C1EE6">
        <w:t xml:space="preserve"> </w:t>
      </w:r>
      <w:r w:rsidR="00E37B66" w:rsidRPr="002C1EE6">
        <w:t>with respect to aquatic</w:t>
      </w:r>
      <w:r w:rsidR="00DC0A8D" w:rsidRPr="002C1EE6">
        <w:t xml:space="preserve"> life</w:t>
      </w:r>
      <w:r w:rsidR="00FB22F3" w:rsidRPr="002C1EE6">
        <w:t>,</w:t>
      </w:r>
      <w:r w:rsidR="00DC0A8D" w:rsidRPr="002C1EE6">
        <w:t xml:space="preserve"> and </w:t>
      </w:r>
      <w:r w:rsidR="00FB22F3" w:rsidRPr="002C1EE6">
        <w:t xml:space="preserve">to determine </w:t>
      </w:r>
      <w:r w:rsidR="00DC0A8D" w:rsidRPr="002C1EE6">
        <w:t xml:space="preserve">the </w:t>
      </w:r>
      <w:r w:rsidR="00CA5CB7" w:rsidRPr="002C1EE6">
        <w:t xml:space="preserve">chemical, </w:t>
      </w:r>
      <w:r w:rsidR="00DC0A8D" w:rsidRPr="002C1EE6">
        <w:t>physical</w:t>
      </w:r>
      <w:r w:rsidR="00CA5CB7" w:rsidRPr="002C1EE6">
        <w:t xml:space="preserve"> and biological</w:t>
      </w:r>
      <w:r w:rsidR="00DC0A8D" w:rsidRPr="002C1EE6">
        <w:t xml:space="preserve"> </w:t>
      </w:r>
      <w:r w:rsidR="00AB5F5B" w:rsidRPr="002C1EE6">
        <w:t>status</w:t>
      </w:r>
      <w:r w:rsidR="00CA5CB7" w:rsidRPr="002C1EE6">
        <w:t xml:space="preserve"> of the water</w:t>
      </w:r>
      <w:r w:rsidR="00AB5F5B" w:rsidRPr="002C1EE6">
        <w:t>. The programme</w:t>
      </w:r>
      <w:r w:rsidR="00CC24B7" w:rsidRPr="002C1EE6">
        <w:t xml:space="preserve"> </w:t>
      </w:r>
      <w:r w:rsidRPr="002C1EE6">
        <w:t xml:space="preserve">operated </w:t>
      </w:r>
      <w:r w:rsidR="00546B35" w:rsidRPr="002C1EE6">
        <w:t>under the umbrella of the University</w:t>
      </w:r>
      <w:r w:rsidR="00CC24B7" w:rsidRPr="002C1EE6">
        <w:t xml:space="preserve">, but </w:t>
      </w:r>
      <w:r w:rsidR="00CA5CB7" w:rsidRPr="002C1EE6">
        <w:t>also received</w:t>
      </w:r>
      <w:r w:rsidR="00CC24B7" w:rsidRPr="002C1EE6">
        <w:t xml:space="preserve"> substantial</w:t>
      </w:r>
      <w:r w:rsidR="00DC0A8D" w:rsidRPr="002C1EE6">
        <w:t xml:space="preserve"> funding </w:t>
      </w:r>
      <w:r w:rsidR="00CC24B7" w:rsidRPr="002C1EE6">
        <w:t>over</w:t>
      </w:r>
      <w:r w:rsidR="00890AE6" w:rsidRPr="002C1EE6">
        <w:t xml:space="preserve"> many years </w:t>
      </w:r>
      <w:r w:rsidR="00DC0A8D" w:rsidRPr="002C1EE6">
        <w:t>from the Rata Foundation (previously the Ca</w:t>
      </w:r>
      <w:r w:rsidR="00743EA3" w:rsidRPr="002C1EE6">
        <w:t>nterbury Community Trust). This funding</w:t>
      </w:r>
      <w:r w:rsidR="0090325B">
        <w:t>,</w:t>
      </w:r>
      <w:r w:rsidR="00743EA3" w:rsidRPr="002C1EE6">
        <w:t xml:space="preserve"> plus the su</w:t>
      </w:r>
      <w:r w:rsidR="00CC24B7" w:rsidRPr="002C1EE6">
        <w:t>pport of Lincoln University</w:t>
      </w:r>
      <w:r w:rsidR="0090325B">
        <w:t>,</w:t>
      </w:r>
      <w:r w:rsidR="00CC24B7" w:rsidRPr="002C1EE6">
        <w:t xml:space="preserve"> </w:t>
      </w:r>
      <w:r w:rsidR="00743EA3" w:rsidRPr="002C1EE6">
        <w:t xml:space="preserve">enabled </w:t>
      </w:r>
      <w:r w:rsidR="00170958" w:rsidRPr="002C1EE6">
        <w:t>Waterwatch to be delivered free of</w:t>
      </w:r>
      <w:r w:rsidR="00743EA3" w:rsidRPr="002C1EE6">
        <w:t xml:space="preserve"> charge to </w:t>
      </w:r>
      <w:r w:rsidR="00DC0A8D" w:rsidRPr="002C1EE6">
        <w:t>schools and</w:t>
      </w:r>
      <w:r w:rsidR="00743EA3" w:rsidRPr="002C1EE6">
        <w:t xml:space="preserve"> community groups</w:t>
      </w:r>
      <w:r w:rsidR="00DC0A8D" w:rsidRPr="002C1EE6">
        <w:t>.</w:t>
      </w:r>
    </w:p>
    <w:p w14:paraId="479870E0" w14:textId="77777777" w:rsidR="00CC24B7" w:rsidRPr="00593410" w:rsidRDefault="00CC24B7" w:rsidP="00CC24B7">
      <w:pPr>
        <w:spacing w:after="60"/>
        <w:jc w:val="both"/>
        <w:rPr>
          <w:b/>
          <w:color w:val="17365D" w:themeColor="text2" w:themeShade="BF"/>
          <w:sz w:val="28"/>
          <w:szCs w:val="28"/>
        </w:rPr>
      </w:pPr>
      <w:r w:rsidRPr="00593410">
        <w:rPr>
          <w:b/>
          <w:color w:val="17365D" w:themeColor="text2" w:themeShade="BF"/>
          <w:sz w:val="28"/>
          <w:szCs w:val="28"/>
        </w:rPr>
        <w:t>What is Waterwatch?</w:t>
      </w:r>
    </w:p>
    <w:p w14:paraId="3E2F1239" w14:textId="77777777" w:rsidR="005F0590" w:rsidRDefault="00CC24B7" w:rsidP="00DC0A8D">
      <w:pPr>
        <w:spacing w:after="120"/>
        <w:jc w:val="both"/>
      </w:pPr>
      <w:r w:rsidRPr="002C1EE6">
        <w:t>Waterwatch</w:t>
      </w:r>
      <w:r w:rsidR="00E2507B" w:rsidRPr="002C1EE6">
        <w:t xml:space="preserve"> provide</w:t>
      </w:r>
      <w:r w:rsidRPr="002C1EE6">
        <w:t>s</w:t>
      </w:r>
      <w:r w:rsidR="00FA2F27" w:rsidRPr="002C1EE6">
        <w:t xml:space="preserve"> hands-on activities</w:t>
      </w:r>
      <w:r w:rsidR="00DC0A8D" w:rsidRPr="002C1EE6">
        <w:t xml:space="preserve"> for </w:t>
      </w:r>
      <w:r w:rsidR="00890AE6" w:rsidRPr="002C1EE6">
        <w:t xml:space="preserve">the </w:t>
      </w:r>
      <w:r w:rsidR="00DC0A8D" w:rsidRPr="002C1EE6">
        <w:t>participants</w:t>
      </w:r>
      <w:r w:rsidR="002A12F6" w:rsidRPr="002C1EE6">
        <w:t>, who are instructed in using scientific instruments</w:t>
      </w:r>
      <w:r w:rsidR="00CA5CB7" w:rsidRPr="002C1EE6">
        <w:t xml:space="preserve"> to measure a range of key water parameters</w:t>
      </w:r>
      <w:r w:rsidR="002A12F6" w:rsidRPr="002C1EE6">
        <w:t>. T</w:t>
      </w:r>
      <w:r w:rsidR="00DC0A8D" w:rsidRPr="002C1EE6">
        <w:t xml:space="preserve">his </w:t>
      </w:r>
      <w:r w:rsidR="00E16341" w:rsidRPr="002C1EE6">
        <w:t xml:space="preserve">approach </w:t>
      </w:r>
      <w:r w:rsidR="00DC0A8D" w:rsidRPr="002C1EE6">
        <w:t>has been highly successful</w:t>
      </w:r>
      <w:r w:rsidR="002A12F6" w:rsidRPr="002C1EE6">
        <w:t xml:space="preserve"> in educating thousan</w:t>
      </w:r>
      <w:r w:rsidR="00170958" w:rsidRPr="002C1EE6">
        <w:t xml:space="preserve">ds of students </w:t>
      </w:r>
      <w:r w:rsidR="001923EC" w:rsidRPr="002C1EE6">
        <w:t xml:space="preserve">from Year 7 to Year 13 </w:t>
      </w:r>
      <w:r w:rsidR="00170958" w:rsidRPr="002C1EE6">
        <w:t>about the freshwater</w:t>
      </w:r>
      <w:r w:rsidR="002A12F6" w:rsidRPr="002C1EE6">
        <w:t xml:space="preserve"> environment</w:t>
      </w:r>
      <w:r w:rsidR="00DC0A8D" w:rsidRPr="002C1EE6">
        <w:t>. We operate with</w:t>
      </w:r>
      <w:r w:rsidR="00743EA3" w:rsidRPr="002C1EE6">
        <w:t xml:space="preserve"> up to</w:t>
      </w:r>
      <w:r w:rsidR="00DC0A8D" w:rsidRPr="002C1EE6">
        <w:t xml:space="preserve"> six kits of</w:t>
      </w:r>
      <w:r w:rsidR="00417B4D" w:rsidRPr="002C1EE6">
        <w:t xml:space="preserve"> test</w:t>
      </w:r>
      <w:r w:rsidR="00DC0A8D" w:rsidRPr="002C1EE6">
        <w:t xml:space="preserve"> equipment, worth approx</w:t>
      </w:r>
      <w:r w:rsidRPr="002C1EE6">
        <w:t>imately $5</w:t>
      </w:r>
      <w:r w:rsidR="00DC0A8D" w:rsidRPr="002C1EE6">
        <w:t xml:space="preserve">,000 each, and </w:t>
      </w:r>
      <w:r w:rsidR="00546B35" w:rsidRPr="002C1EE6">
        <w:t xml:space="preserve">we </w:t>
      </w:r>
      <w:r w:rsidR="00DC0A8D" w:rsidRPr="002C1EE6">
        <w:t>also provide n</w:t>
      </w:r>
      <w:r w:rsidR="006A14C7" w:rsidRPr="002C1EE6">
        <w:t xml:space="preserve">ets, waders, </w:t>
      </w:r>
      <w:r w:rsidR="00AB5F5B" w:rsidRPr="002C1EE6">
        <w:t xml:space="preserve">gumboots, </w:t>
      </w:r>
      <w:r w:rsidR="00546B35" w:rsidRPr="002C1EE6">
        <w:t xml:space="preserve">buckets, </w:t>
      </w:r>
      <w:r w:rsidR="00713617" w:rsidRPr="002C1EE6">
        <w:t xml:space="preserve">specimen </w:t>
      </w:r>
      <w:r w:rsidR="006A14C7" w:rsidRPr="002C1EE6">
        <w:t>trays</w:t>
      </w:r>
      <w:r w:rsidR="00546B35" w:rsidRPr="002C1EE6">
        <w:t xml:space="preserve"> and identification charts</w:t>
      </w:r>
      <w:r w:rsidR="00417B4D" w:rsidRPr="002C1EE6">
        <w:t>. These</w:t>
      </w:r>
      <w:r w:rsidR="006A14C7" w:rsidRPr="002C1EE6">
        <w:t xml:space="preserve"> are used </w:t>
      </w:r>
      <w:r w:rsidR="001C2212" w:rsidRPr="002C1EE6">
        <w:t>in the steps of</w:t>
      </w:r>
      <w:r w:rsidR="00DC0A8D" w:rsidRPr="002C1EE6">
        <w:t xml:space="preserve"> catch</w:t>
      </w:r>
      <w:r w:rsidR="001C2212" w:rsidRPr="002C1EE6">
        <w:t>ing</w:t>
      </w:r>
      <w:r w:rsidR="00DC0A8D" w:rsidRPr="002C1EE6">
        <w:t xml:space="preserve"> and identify</w:t>
      </w:r>
      <w:r w:rsidR="001C2212" w:rsidRPr="002C1EE6">
        <w:t>ing</w:t>
      </w:r>
      <w:r w:rsidR="00DC0A8D" w:rsidRPr="002C1EE6">
        <w:t xml:space="preserve"> </w:t>
      </w:r>
      <w:r w:rsidR="00713617" w:rsidRPr="002C1EE6">
        <w:t xml:space="preserve">aquatic </w:t>
      </w:r>
      <w:r w:rsidR="00DC0A8D" w:rsidRPr="002C1EE6">
        <w:t xml:space="preserve">macroinvertebrates. </w:t>
      </w:r>
      <w:r w:rsidR="000A78B1" w:rsidRPr="002C1EE6">
        <w:t>Most of our excursions are</w:t>
      </w:r>
      <w:r w:rsidR="00E553DD" w:rsidRPr="002C1EE6">
        <w:t xml:space="preserve"> for science, biology and geography classes, but</w:t>
      </w:r>
      <w:r w:rsidR="00EB3F7B" w:rsidRPr="002C1EE6">
        <w:t xml:space="preserve"> there has</w:t>
      </w:r>
      <w:r w:rsidR="00E16341" w:rsidRPr="002C1EE6">
        <w:t xml:space="preserve"> recently</w:t>
      </w:r>
      <w:r w:rsidR="00EB3F7B" w:rsidRPr="002C1EE6">
        <w:t xml:space="preserve"> been </w:t>
      </w:r>
      <w:r w:rsidR="003B3E87" w:rsidRPr="002C1EE6">
        <w:t>increased uptake</w:t>
      </w:r>
      <w:r w:rsidR="00546B35" w:rsidRPr="002C1EE6">
        <w:t xml:space="preserve"> from</w:t>
      </w:r>
      <w:r w:rsidR="00E553DD" w:rsidRPr="002C1EE6">
        <w:t xml:space="preserve"> </w:t>
      </w:r>
      <w:r w:rsidR="00546B35" w:rsidRPr="002C1EE6">
        <w:t>agriculture/horticulture teachers</w:t>
      </w:r>
      <w:r w:rsidR="00713617" w:rsidRPr="002C1EE6">
        <w:t xml:space="preserve"> too</w:t>
      </w:r>
      <w:r w:rsidR="00E553DD" w:rsidRPr="002C1EE6">
        <w:t xml:space="preserve">. </w:t>
      </w:r>
      <w:r w:rsidR="00DC0A8D" w:rsidRPr="002C1EE6">
        <w:t>Children of all ages (and adults</w:t>
      </w:r>
      <w:r w:rsidR="00E16341" w:rsidRPr="002C1EE6">
        <w:t xml:space="preserve"> too</w:t>
      </w:r>
      <w:r w:rsidR="00DC0A8D" w:rsidRPr="002C1EE6">
        <w:t xml:space="preserve">) </w:t>
      </w:r>
      <w:r w:rsidR="00546B35" w:rsidRPr="002C1EE6">
        <w:t xml:space="preserve">invariably </w:t>
      </w:r>
      <w:r w:rsidR="00DC0A8D" w:rsidRPr="002C1EE6">
        <w:t>become fully engaged</w:t>
      </w:r>
      <w:r w:rsidR="00E553DD" w:rsidRPr="002C1EE6">
        <w:t xml:space="preserve"> in the tasks</w:t>
      </w:r>
      <w:r w:rsidR="00C077DD">
        <w:t xml:space="preserve"> we set</w:t>
      </w:r>
      <w:r w:rsidR="00546B35" w:rsidRPr="002C1EE6">
        <w:t>, leading to very worthwhile</w:t>
      </w:r>
      <w:r w:rsidR="00DC0A8D" w:rsidRPr="002C1EE6">
        <w:t xml:space="preserve"> outdoor learning experience</w:t>
      </w:r>
      <w:r w:rsidR="00546B35" w:rsidRPr="002C1EE6">
        <w:t>s</w:t>
      </w:r>
      <w:r w:rsidR="00DC0A8D" w:rsidRPr="002C1EE6">
        <w:t xml:space="preserve">. </w:t>
      </w:r>
    </w:p>
    <w:p w14:paraId="2EDAEE2C" w14:textId="77777777" w:rsidR="00370E5E" w:rsidRPr="005F0590" w:rsidRDefault="007A5607" w:rsidP="00DC0A8D">
      <w:pPr>
        <w:spacing w:after="120"/>
        <w:jc w:val="both"/>
      </w:pPr>
      <w:r w:rsidRPr="002C1EE6">
        <w:t>We also attend events organis</w:t>
      </w:r>
      <w:r w:rsidR="00E16341" w:rsidRPr="002C1EE6">
        <w:t>ed by community groups</w:t>
      </w:r>
      <w:r w:rsidRPr="002C1EE6">
        <w:t xml:space="preserve"> to</w:t>
      </w:r>
      <w:r w:rsidR="007850EC">
        <w:t xml:space="preserve"> investigate the condition of their local waterways and</w:t>
      </w:r>
      <w:r w:rsidRPr="002C1EE6">
        <w:t xml:space="preserve"> </w:t>
      </w:r>
      <w:r w:rsidR="007850EC">
        <w:t xml:space="preserve">to </w:t>
      </w:r>
      <w:r w:rsidRPr="002C1EE6">
        <w:t>introduce them to water monitoring te</w:t>
      </w:r>
      <w:r w:rsidR="00A92F0C" w:rsidRPr="002C1EE6">
        <w:t>chniques and how we might help</w:t>
      </w:r>
      <w:r w:rsidR="00890AE6" w:rsidRPr="002C1EE6">
        <w:t xml:space="preserve"> the gr</w:t>
      </w:r>
      <w:r w:rsidR="007850EC">
        <w:t xml:space="preserve">oups to investigate these </w:t>
      </w:r>
      <w:r w:rsidR="00890AE6" w:rsidRPr="002C1EE6">
        <w:t>waterways</w:t>
      </w:r>
      <w:r w:rsidRPr="002C1EE6">
        <w:t>.</w:t>
      </w:r>
      <w:r w:rsidR="00743EA3" w:rsidRPr="002C1EE6">
        <w:t xml:space="preserve"> </w:t>
      </w:r>
    </w:p>
    <w:p w14:paraId="1FEFE32E" w14:textId="77777777" w:rsidR="005F0590" w:rsidRPr="00425944" w:rsidRDefault="005F0590" w:rsidP="00DC0A8D">
      <w:pPr>
        <w:spacing w:after="120"/>
        <w:jc w:val="both"/>
        <w:rPr>
          <w:sz w:val="8"/>
          <w:szCs w:val="8"/>
        </w:rPr>
      </w:pPr>
    </w:p>
    <w:p w14:paraId="50EB2357" w14:textId="77777777" w:rsidR="008D028B" w:rsidRPr="002C1EE6" w:rsidRDefault="008D028B" w:rsidP="00DC0A8D">
      <w:pPr>
        <w:spacing w:after="120"/>
        <w:jc w:val="both"/>
      </w:pPr>
      <w:r w:rsidRPr="002C1EE6">
        <w:t xml:space="preserve">Here are the parameters that we </w:t>
      </w:r>
      <w:r w:rsidR="003D1BC2" w:rsidRPr="002C1EE6">
        <w:t xml:space="preserve">can </w:t>
      </w:r>
      <w:r w:rsidRPr="002C1EE6">
        <w:t>measure</w:t>
      </w:r>
      <w:r w:rsidR="00E70FD9" w:rsidRPr="002C1EE6">
        <w:t xml:space="preserve"> or assess</w:t>
      </w:r>
      <w:r w:rsidRPr="002C1EE6">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081"/>
        <w:gridCol w:w="2947"/>
      </w:tblGrid>
      <w:tr w:rsidR="008D028B" w:rsidRPr="002C1EE6" w14:paraId="385A5325" w14:textId="77777777" w:rsidTr="003D1BC2">
        <w:trPr>
          <w:jc w:val="center"/>
        </w:trPr>
        <w:tc>
          <w:tcPr>
            <w:tcW w:w="2972" w:type="dxa"/>
          </w:tcPr>
          <w:p w14:paraId="67B7B352" w14:textId="77777777" w:rsidR="008D028B" w:rsidRPr="002C1EE6" w:rsidRDefault="008D028B" w:rsidP="00EB3F7B">
            <w:pPr>
              <w:spacing w:after="60"/>
              <w:jc w:val="center"/>
              <w:rPr>
                <w:b/>
              </w:rPr>
            </w:pPr>
            <w:r w:rsidRPr="002C1EE6">
              <w:rPr>
                <w:b/>
              </w:rPr>
              <w:t>Chemical</w:t>
            </w:r>
          </w:p>
        </w:tc>
        <w:tc>
          <w:tcPr>
            <w:tcW w:w="3081" w:type="dxa"/>
          </w:tcPr>
          <w:p w14:paraId="0D672E27" w14:textId="77777777" w:rsidR="008D028B" w:rsidRPr="002C1EE6" w:rsidRDefault="008D028B" w:rsidP="00EB3F7B">
            <w:pPr>
              <w:spacing w:after="60"/>
              <w:jc w:val="center"/>
              <w:rPr>
                <w:b/>
              </w:rPr>
            </w:pPr>
            <w:r w:rsidRPr="002C1EE6">
              <w:rPr>
                <w:b/>
              </w:rPr>
              <w:t>Physical</w:t>
            </w:r>
          </w:p>
        </w:tc>
        <w:tc>
          <w:tcPr>
            <w:tcW w:w="2947" w:type="dxa"/>
          </w:tcPr>
          <w:p w14:paraId="4A624E15" w14:textId="77777777" w:rsidR="008D028B" w:rsidRPr="002C1EE6" w:rsidRDefault="008D028B" w:rsidP="00EB3F7B">
            <w:pPr>
              <w:spacing w:after="60"/>
              <w:jc w:val="center"/>
              <w:rPr>
                <w:b/>
              </w:rPr>
            </w:pPr>
            <w:r w:rsidRPr="002C1EE6">
              <w:rPr>
                <w:b/>
              </w:rPr>
              <w:t>Biological</w:t>
            </w:r>
          </w:p>
        </w:tc>
      </w:tr>
      <w:tr w:rsidR="008D028B" w:rsidRPr="002C1EE6" w14:paraId="580308F8" w14:textId="77777777" w:rsidTr="003D1BC2">
        <w:trPr>
          <w:jc w:val="center"/>
        </w:trPr>
        <w:tc>
          <w:tcPr>
            <w:tcW w:w="2972" w:type="dxa"/>
          </w:tcPr>
          <w:p w14:paraId="7C349245" w14:textId="77777777" w:rsidR="008D028B" w:rsidRPr="002C1EE6" w:rsidRDefault="008D028B" w:rsidP="00EB3F7B">
            <w:pPr>
              <w:spacing w:after="60"/>
              <w:jc w:val="both"/>
            </w:pPr>
            <w:r w:rsidRPr="002C1EE6">
              <w:t xml:space="preserve">Dissolved </w:t>
            </w:r>
            <w:r w:rsidR="008E338D">
              <w:t>O</w:t>
            </w:r>
            <w:r w:rsidR="008E338D" w:rsidRPr="008E338D">
              <w:rPr>
                <w:vertAlign w:val="subscript"/>
              </w:rPr>
              <w:t>2</w:t>
            </w:r>
            <w:r w:rsidR="008E338D">
              <w:t xml:space="preserve"> </w:t>
            </w:r>
            <w:r w:rsidRPr="002C1EE6">
              <w:t>content (mg/l)</w:t>
            </w:r>
          </w:p>
        </w:tc>
        <w:tc>
          <w:tcPr>
            <w:tcW w:w="3081" w:type="dxa"/>
          </w:tcPr>
          <w:p w14:paraId="07DC6D7C" w14:textId="77777777" w:rsidR="008D028B" w:rsidRPr="002C1EE6" w:rsidRDefault="008D028B" w:rsidP="00EB3F7B">
            <w:pPr>
              <w:spacing w:after="60"/>
              <w:jc w:val="both"/>
            </w:pPr>
            <w:r w:rsidRPr="002C1EE6">
              <w:t>GPS location</w:t>
            </w:r>
          </w:p>
        </w:tc>
        <w:tc>
          <w:tcPr>
            <w:tcW w:w="2947" w:type="dxa"/>
          </w:tcPr>
          <w:p w14:paraId="2E60F0CF" w14:textId="77777777" w:rsidR="008D028B" w:rsidRPr="002C1EE6" w:rsidRDefault="008D028B" w:rsidP="00EB3F7B">
            <w:pPr>
              <w:spacing w:after="60"/>
              <w:jc w:val="both"/>
            </w:pPr>
            <w:r w:rsidRPr="002C1EE6">
              <w:t>Macroinvertebrates</w:t>
            </w:r>
          </w:p>
        </w:tc>
      </w:tr>
      <w:tr w:rsidR="008D028B" w:rsidRPr="002C1EE6" w14:paraId="733C76F8" w14:textId="77777777" w:rsidTr="003D1BC2">
        <w:trPr>
          <w:jc w:val="center"/>
        </w:trPr>
        <w:tc>
          <w:tcPr>
            <w:tcW w:w="2972" w:type="dxa"/>
          </w:tcPr>
          <w:p w14:paraId="077BEEC9" w14:textId="77777777" w:rsidR="008D028B" w:rsidRPr="002C1EE6" w:rsidRDefault="008D028B" w:rsidP="00EB3F7B">
            <w:pPr>
              <w:spacing w:after="60"/>
              <w:jc w:val="both"/>
            </w:pPr>
            <w:r w:rsidRPr="002C1EE6">
              <w:t>O</w:t>
            </w:r>
            <w:r w:rsidRPr="002C1EE6">
              <w:rPr>
                <w:vertAlign w:val="subscript"/>
              </w:rPr>
              <w:t>2</w:t>
            </w:r>
            <w:r w:rsidRPr="002C1EE6">
              <w:t xml:space="preserve"> saturation (%)</w:t>
            </w:r>
          </w:p>
        </w:tc>
        <w:tc>
          <w:tcPr>
            <w:tcW w:w="3081" w:type="dxa"/>
          </w:tcPr>
          <w:p w14:paraId="38843C95" w14:textId="77777777" w:rsidR="008D028B" w:rsidRPr="002C1EE6" w:rsidRDefault="008D028B" w:rsidP="00EB3F7B">
            <w:pPr>
              <w:spacing w:after="60"/>
              <w:jc w:val="both"/>
            </w:pPr>
            <w:r w:rsidRPr="002C1EE6">
              <w:t>Habitat survey*</w:t>
            </w:r>
          </w:p>
        </w:tc>
        <w:tc>
          <w:tcPr>
            <w:tcW w:w="2947" w:type="dxa"/>
          </w:tcPr>
          <w:p w14:paraId="4414F65F" w14:textId="77777777" w:rsidR="008D028B" w:rsidRPr="002C1EE6" w:rsidRDefault="008D028B" w:rsidP="00EB3F7B">
            <w:pPr>
              <w:spacing w:after="60"/>
              <w:jc w:val="both"/>
            </w:pPr>
            <w:r w:rsidRPr="002C1EE6">
              <w:t>Fish</w:t>
            </w:r>
          </w:p>
        </w:tc>
      </w:tr>
      <w:tr w:rsidR="008D028B" w:rsidRPr="002C1EE6" w14:paraId="06063DDB" w14:textId="77777777" w:rsidTr="003D1BC2">
        <w:trPr>
          <w:jc w:val="center"/>
        </w:trPr>
        <w:tc>
          <w:tcPr>
            <w:tcW w:w="2972" w:type="dxa"/>
          </w:tcPr>
          <w:p w14:paraId="71AD0DD7" w14:textId="77777777" w:rsidR="008D028B" w:rsidRPr="002C1EE6" w:rsidRDefault="008D028B" w:rsidP="00EB3F7B">
            <w:pPr>
              <w:spacing w:after="60"/>
              <w:jc w:val="both"/>
            </w:pPr>
            <w:r w:rsidRPr="002C1EE6">
              <w:t>pH</w:t>
            </w:r>
          </w:p>
        </w:tc>
        <w:tc>
          <w:tcPr>
            <w:tcW w:w="3081" w:type="dxa"/>
          </w:tcPr>
          <w:p w14:paraId="16F8D3CA" w14:textId="77777777" w:rsidR="008D028B" w:rsidRPr="002C1EE6" w:rsidRDefault="008D028B" w:rsidP="00EB3F7B">
            <w:pPr>
              <w:spacing w:after="60"/>
              <w:jc w:val="both"/>
            </w:pPr>
            <w:r w:rsidRPr="002C1EE6">
              <w:t>Stream flow (m</w:t>
            </w:r>
            <w:r w:rsidRPr="002C1EE6">
              <w:rPr>
                <w:vertAlign w:val="superscript"/>
              </w:rPr>
              <w:t>3</w:t>
            </w:r>
            <w:r w:rsidRPr="002C1EE6">
              <w:t>/s)</w:t>
            </w:r>
          </w:p>
        </w:tc>
        <w:tc>
          <w:tcPr>
            <w:tcW w:w="2947" w:type="dxa"/>
          </w:tcPr>
          <w:p w14:paraId="62E1A866" w14:textId="77777777" w:rsidR="008D028B" w:rsidRPr="002C1EE6" w:rsidRDefault="008D028B" w:rsidP="00EB3F7B">
            <w:pPr>
              <w:spacing w:after="60"/>
              <w:jc w:val="both"/>
            </w:pPr>
            <w:r w:rsidRPr="002C1EE6">
              <w:t>Microbiology (bacteria)*</w:t>
            </w:r>
          </w:p>
        </w:tc>
      </w:tr>
      <w:tr w:rsidR="008D028B" w:rsidRPr="002C1EE6" w14:paraId="5AB44F02" w14:textId="77777777" w:rsidTr="003D1BC2">
        <w:trPr>
          <w:jc w:val="center"/>
        </w:trPr>
        <w:tc>
          <w:tcPr>
            <w:tcW w:w="2972" w:type="dxa"/>
          </w:tcPr>
          <w:p w14:paraId="387FA425" w14:textId="77777777" w:rsidR="008D028B" w:rsidRPr="002C1EE6" w:rsidRDefault="008D028B" w:rsidP="00EB3F7B">
            <w:pPr>
              <w:spacing w:after="60"/>
              <w:jc w:val="both"/>
            </w:pPr>
            <w:r w:rsidRPr="002C1EE6">
              <w:t>Conductivity</w:t>
            </w:r>
            <w:r w:rsidR="005B40F2" w:rsidRPr="002C1EE6">
              <w:t xml:space="preserve"> (</w:t>
            </w:r>
            <w:r w:rsidR="005B40F2" w:rsidRPr="002C1EE6">
              <w:rPr>
                <w:rFonts w:cs="Arial"/>
              </w:rPr>
              <w:t>μ</w:t>
            </w:r>
            <w:r w:rsidR="00546B35" w:rsidRPr="002C1EE6">
              <w:rPr>
                <w:rFonts w:cs="Arial"/>
              </w:rPr>
              <w:t>S/cm)</w:t>
            </w:r>
          </w:p>
        </w:tc>
        <w:tc>
          <w:tcPr>
            <w:tcW w:w="3081" w:type="dxa"/>
          </w:tcPr>
          <w:p w14:paraId="13C8F204" w14:textId="77777777" w:rsidR="008D028B" w:rsidRPr="002C1EE6" w:rsidRDefault="008D028B" w:rsidP="00EB3F7B">
            <w:pPr>
              <w:spacing w:after="60"/>
              <w:jc w:val="both"/>
            </w:pPr>
            <w:r w:rsidRPr="002C1EE6">
              <w:t>Stream profile (m</w:t>
            </w:r>
            <w:r w:rsidRPr="002C1EE6">
              <w:rPr>
                <w:vertAlign w:val="superscript"/>
              </w:rPr>
              <w:t>2</w:t>
            </w:r>
            <w:r w:rsidRPr="002C1EE6">
              <w:t>)</w:t>
            </w:r>
          </w:p>
        </w:tc>
        <w:tc>
          <w:tcPr>
            <w:tcW w:w="2947" w:type="dxa"/>
          </w:tcPr>
          <w:p w14:paraId="1EF93D60" w14:textId="77777777" w:rsidR="008D028B" w:rsidRPr="002C1EE6" w:rsidRDefault="008D028B" w:rsidP="00EB3F7B">
            <w:pPr>
              <w:spacing w:after="60"/>
              <w:jc w:val="both"/>
            </w:pPr>
            <w:r w:rsidRPr="002C1EE6">
              <w:t>Plant life *</w:t>
            </w:r>
          </w:p>
        </w:tc>
      </w:tr>
      <w:tr w:rsidR="008D028B" w:rsidRPr="002C1EE6" w14:paraId="2489114C" w14:textId="77777777" w:rsidTr="003D1BC2">
        <w:trPr>
          <w:jc w:val="center"/>
        </w:trPr>
        <w:tc>
          <w:tcPr>
            <w:tcW w:w="2972" w:type="dxa"/>
          </w:tcPr>
          <w:p w14:paraId="5247F656" w14:textId="77777777" w:rsidR="008D028B" w:rsidRPr="002C1EE6" w:rsidRDefault="008D028B" w:rsidP="00EB3F7B">
            <w:pPr>
              <w:spacing w:after="60"/>
              <w:jc w:val="both"/>
            </w:pPr>
            <w:r w:rsidRPr="002C1EE6">
              <w:t>Nitrates (mg/l)</w:t>
            </w:r>
          </w:p>
        </w:tc>
        <w:tc>
          <w:tcPr>
            <w:tcW w:w="3081" w:type="dxa"/>
          </w:tcPr>
          <w:p w14:paraId="2DC22FB0" w14:textId="77777777" w:rsidR="008D028B" w:rsidRPr="002C1EE6" w:rsidRDefault="008D028B" w:rsidP="00EB3F7B">
            <w:pPr>
              <w:spacing w:after="60"/>
              <w:jc w:val="both"/>
            </w:pPr>
            <w:r w:rsidRPr="002C1EE6">
              <w:t>Turbidity</w:t>
            </w:r>
            <w:r w:rsidR="00546B35" w:rsidRPr="002C1EE6">
              <w:t xml:space="preserve"> (NTU)</w:t>
            </w:r>
          </w:p>
        </w:tc>
        <w:tc>
          <w:tcPr>
            <w:tcW w:w="2947" w:type="dxa"/>
          </w:tcPr>
          <w:p w14:paraId="0DAC42BD" w14:textId="77777777" w:rsidR="008D028B" w:rsidRPr="002C1EE6" w:rsidRDefault="008D028B" w:rsidP="00EB3F7B">
            <w:pPr>
              <w:spacing w:after="60"/>
              <w:jc w:val="both"/>
            </w:pPr>
          </w:p>
        </w:tc>
      </w:tr>
      <w:tr w:rsidR="008D028B" w:rsidRPr="002C1EE6" w14:paraId="5EFC27C5" w14:textId="77777777" w:rsidTr="003D1BC2">
        <w:trPr>
          <w:jc w:val="center"/>
        </w:trPr>
        <w:tc>
          <w:tcPr>
            <w:tcW w:w="2972" w:type="dxa"/>
          </w:tcPr>
          <w:p w14:paraId="396952C6" w14:textId="77777777" w:rsidR="008D028B" w:rsidRPr="002C1EE6" w:rsidRDefault="008D028B" w:rsidP="00EB3F7B">
            <w:pPr>
              <w:spacing w:after="60"/>
              <w:jc w:val="both"/>
            </w:pPr>
            <w:r w:rsidRPr="002C1EE6">
              <w:t>Phosphates (mg/l)</w:t>
            </w:r>
          </w:p>
        </w:tc>
        <w:tc>
          <w:tcPr>
            <w:tcW w:w="3081" w:type="dxa"/>
          </w:tcPr>
          <w:p w14:paraId="18993852" w14:textId="77777777" w:rsidR="008D028B" w:rsidRPr="002C1EE6" w:rsidRDefault="008D028B" w:rsidP="00EB3F7B">
            <w:pPr>
              <w:spacing w:after="60"/>
              <w:jc w:val="both"/>
            </w:pPr>
            <w:r w:rsidRPr="002C1EE6">
              <w:t>Water temperature</w:t>
            </w:r>
            <w:r w:rsidR="00546B35" w:rsidRPr="002C1EE6">
              <w:t xml:space="preserve"> (</w:t>
            </w:r>
            <w:r w:rsidR="00546B35" w:rsidRPr="002C1EE6">
              <w:rPr>
                <w:vertAlign w:val="superscript"/>
              </w:rPr>
              <w:t>o</w:t>
            </w:r>
            <w:r w:rsidR="00546B35" w:rsidRPr="002C1EE6">
              <w:t>C)</w:t>
            </w:r>
          </w:p>
        </w:tc>
        <w:tc>
          <w:tcPr>
            <w:tcW w:w="2947" w:type="dxa"/>
          </w:tcPr>
          <w:p w14:paraId="491252B8" w14:textId="77777777" w:rsidR="008D028B" w:rsidRPr="002C1EE6" w:rsidRDefault="008D028B" w:rsidP="00EB3F7B">
            <w:pPr>
              <w:spacing w:after="60"/>
              <w:jc w:val="both"/>
            </w:pPr>
          </w:p>
        </w:tc>
      </w:tr>
      <w:tr w:rsidR="008D028B" w:rsidRPr="002C1EE6" w14:paraId="1495F224" w14:textId="77777777" w:rsidTr="003D1BC2">
        <w:trPr>
          <w:jc w:val="center"/>
        </w:trPr>
        <w:tc>
          <w:tcPr>
            <w:tcW w:w="2972" w:type="dxa"/>
          </w:tcPr>
          <w:p w14:paraId="0A8EA2FC" w14:textId="77777777" w:rsidR="003164EC" w:rsidRPr="002C1EE6" w:rsidRDefault="008D028B" w:rsidP="00EB3F7B">
            <w:pPr>
              <w:spacing w:after="60"/>
              <w:jc w:val="both"/>
            </w:pPr>
            <w:r w:rsidRPr="002C1EE6">
              <w:t>Iron (mg/l)*</w:t>
            </w:r>
            <w:r w:rsidR="003D1BC2" w:rsidRPr="002C1EE6">
              <w:t xml:space="preserve">                      </w:t>
            </w:r>
          </w:p>
        </w:tc>
        <w:tc>
          <w:tcPr>
            <w:tcW w:w="3081" w:type="dxa"/>
          </w:tcPr>
          <w:p w14:paraId="1D0F5F09" w14:textId="77777777" w:rsidR="008D028B" w:rsidRPr="002C1EE6" w:rsidRDefault="008D028B" w:rsidP="00EB3F7B">
            <w:pPr>
              <w:spacing w:after="60"/>
              <w:jc w:val="both"/>
            </w:pPr>
            <w:r w:rsidRPr="002C1EE6">
              <w:t>Air temperature and humidity</w:t>
            </w:r>
          </w:p>
        </w:tc>
        <w:tc>
          <w:tcPr>
            <w:tcW w:w="2947" w:type="dxa"/>
          </w:tcPr>
          <w:p w14:paraId="71BDACAA" w14:textId="77777777" w:rsidR="008D028B" w:rsidRPr="002C1EE6" w:rsidRDefault="008D028B" w:rsidP="00EB3F7B">
            <w:pPr>
              <w:spacing w:after="60"/>
              <w:jc w:val="both"/>
            </w:pPr>
          </w:p>
        </w:tc>
      </w:tr>
      <w:tr w:rsidR="008D028B" w:rsidRPr="002C1EE6" w14:paraId="3C6D2EB7" w14:textId="77777777" w:rsidTr="003D1BC2">
        <w:trPr>
          <w:jc w:val="center"/>
        </w:trPr>
        <w:tc>
          <w:tcPr>
            <w:tcW w:w="2972" w:type="dxa"/>
          </w:tcPr>
          <w:p w14:paraId="577716A2" w14:textId="77777777" w:rsidR="008D028B" w:rsidRPr="002C1EE6" w:rsidRDefault="003D1BC2" w:rsidP="00EB3F7B">
            <w:pPr>
              <w:spacing w:after="60"/>
              <w:jc w:val="both"/>
            </w:pPr>
            <w:r w:rsidRPr="002C1EE6">
              <w:t>Hardness *</w:t>
            </w:r>
          </w:p>
        </w:tc>
        <w:tc>
          <w:tcPr>
            <w:tcW w:w="3081" w:type="dxa"/>
          </w:tcPr>
          <w:p w14:paraId="0EAC309A" w14:textId="77777777" w:rsidR="008D028B" w:rsidRPr="002C1EE6" w:rsidRDefault="008D028B" w:rsidP="007859C8">
            <w:pPr>
              <w:spacing w:after="60"/>
            </w:pPr>
            <w:r w:rsidRPr="002C1EE6">
              <w:t>Cultural health index</w:t>
            </w:r>
            <w:r w:rsidR="00EB3F7B" w:rsidRPr="002C1EE6">
              <w:t xml:space="preserve"> assessment</w:t>
            </w:r>
            <w:r w:rsidRPr="002C1EE6">
              <w:t>*</w:t>
            </w:r>
          </w:p>
        </w:tc>
        <w:tc>
          <w:tcPr>
            <w:tcW w:w="2947" w:type="dxa"/>
          </w:tcPr>
          <w:p w14:paraId="7ED13F0F" w14:textId="77777777" w:rsidR="008D028B" w:rsidRPr="002C1EE6" w:rsidRDefault="008D028B" w:rsidP="00EB3F7B">
            <w:pPr>
              <w:spacing w:after="60"/>
              <w:jc w:val="both"/>
            </w:pPr>
          </w:p>
        </w:tc>
      </w:tr>
      <w:tr w:rsidR="008D028B" w:rsidRPr="002C1EE6" w14:paraId="59E63C72" w14:textId="77777777" w:rsidTr="003D1BC2">
        <w:trPr>
          <w:jc w:val="center"/>
        </w:trPr>
        <w:tc>
          <w:tcPr>
            <w:tcW w:w="2972" w:type="dxa"/>
          </w:tcPr>
          <w:p w14:paraId="43A5FD85" w14:textId="77777777" w:rsidR="008D028B" w:rsidRPr="002C1EE6" w:rsidRDefault="002D4F7F" w:rsidP="00170958">
            <w:pPr>
              <w:spacing w:after="60" w:line="276" w:lineRule="auto"/>
              <w:jc w:val="both"/>
              <w:rPr>
                <w:sz w:val="20"/>
                <w:szCs w:val="20"/>
              </w:rPr>
            </w:pPr>
            <w:r w:rsidRPr="002C1EE6">
              <w:rPr>
                <w:sz w:val="20"/>
                <w:szCs w:val="20"/>
              </w:rPr>
              <w:t>*Optional, available on request</w:t>
            </w:r>
          </w:p>
        </w:tc>
        <w:tc>
          <w:tcPr>
            <w:tcW w:w="3081" w:type="dxa"/>
          </w:tcPr>
          <w:p w14:paraId="51FBA564" w14:textId="77777777" w:rsidR="008D028B" w:rsidRPr="002C1EE6" w:rsidRDefault="008D028B" w:rsidP="00EB3F7B">
            <w:pPr>
              <w:spacing w:after="60"/>
              <w:jc w:val="both"/>
            </w:pPr>
          </w:p>
        </w:tc>
        <w:tc>
          <w:tcPr>
            <w:tcW w:w="2947" w:type="dxa"/>
          </w:tcPr>
          <w:p w14:paraId="3E04D182" w14:textId="77777777" w:rsidR="008D028B" w:rsidRPr="002C1EE6" w:rsidRDefault="008D028B" w:rsidP="00EB3F7B">
            <w:pPr>
              <w:spacing w:after="60"/>
              <w:jc w:val="both"/>
            </w:pPr>
          </w:p>
        </w:tc>
      </w:tr>
    </w:tbl>
    <w:p w14:paraId="70A9C18B" w14:textId="77777777" w:rsidR="00370E5E" w:rsidRDefault="00370E5E" w:rsidP="000E01A4">
      <w:pPr>
        <w:spacing w:after="120"/>
        <w:jc w:val="both"/>
      </w:pPr>
    </w:p>
    <w:p w14:paraId="3B72F36C" w14:textId="77777777" w:rsidR="00BE36FC" w:rsidRDefault="00370E5E" w:rsidP="00370E5E">
      <w:r>
        <w:br w:type="page"/>
      </w:r>
      <w:r w:rsidR="008D212D" w:rsidRPr="002C1EE6">
        <w:lastRenderedPageBreak/>
        <w:t>Until</w:t>
      </w:r>
      <w:r w:rsidR="00832FC6" w:rsidRPr="002C1EE6">
        <w:t xml:space="preserve"> a fe</w:t>
      </w:r>
      <w:r w:rsidR="00AB5F5B" w:rsidRPr="002C1EE6">
        <w:t xml:space="preserve">w years ago Waterwatch was </w:t>
      </w:r>
      <w:r w:rsidR="00455978">
        <w:t>one of a number of</w:t>
      </w:r>
      <w:r w:rsidR="00F1340A" w:rsidRPr="002C1EE6">
        <w:t xml:space="preserve"> </w:t>
      </w:r>
      <w:r w:rsidR="002C1EE6">
        <w:t xml:space="preserve">educational </w:t>
      </w:r>
      <w:r w:rsidR="00832FC6" w:rsidRPr="002C1EE6">
        <w:t>programmes</w:t>
      </w:r>
      <w:r w:rsidR="00AB5F5B" w:rsidRPr="002C1EE6">
        <w:t xml:space="preserve"> operating</w:t>
      </w:r>
      <w:r w:rsidR="008E338D">
        <w:t xml:space="preserve"> in different regions in</w:t>
      </w:r>
      <w:r>
        <w:t xml:space="preserve"> New Zealand which</w:t>
      </w:r>
      <w:r w:rsidR="00546B35" w:rsidRPr="002C1EE6">
        <w:t xml:space="preserve"> enable</w:t>
      </w:r>
      <w:r>
        <w:t>d</w:t>
      </w:r>
      <w:r w:rsidR="00832FC6" w:rsidRPr="002C1EE6">
        <w:t xml:space="preserve"> s</w:t>
      </w:r>
      <w:r w:rsidR="00E70FD9" w:rsidRPr="002C1EE6">
        <w:t>tudents to engage with</w:t>
      </w:r>
      <w:r w:rsidR="00455978">
        <w:t xml:space="preserve"> our</w:t>
      </w:r>
      <w:r w:rsidR="00E70FD9" w:rsidRPr="002C1EE6">
        <w:t xml:space="preserve"> aquatic ecosystems</w:t>
      </w:r>
      <w:r w:rsidR="002C1EE6">
        <w:t xml:space="preserve"> – stream</w:t>
      </w:r>
      <w:r w:rsidR="00455978">
        <w:t>s</w:t>
      </w:r>
      <w:r w:rsidR="002C1EE6">
        <w:t>, rivers, ponds and lakes</w:t>
      </w:r>
      <w:r w:rsidR="00455978">
        <w:t xml:space="preserve"> </w:t>
      </w:r>
      <w:r>
        <w:t>– and thus benefit from a very worthwhile</w:t>
      </w:r>
      <w:r w:rsidR="00455978">
        <w:t xml:space="preserve"> outdoor experience</w:t>
      </w:r>
      <w:r w:rsidR="00832FC6" w:rsidRPr="002C1EE6">
        <w:t>. Sadly, al</w:t>
      </w:r>
      <w:r w:rsidR="000D5D9E" w:rsidRPr="002C1EE6">
        <w:t>most all of these</w:t>
      </w:r>
      <w:r w:rsidR="00832FC6" w:rsidRPr="002C1EE6">
        <w:t xml:space="preserve"> </w:t>
      </w:r>
      <w:r w:rsidR="00546B35" w:rsidRPr="002C1EE6">
        <w:t xml:space="preserve">programmes </w:t>
      </w:r>
      <w:r w:rsidR="00E70FD9" w:rsidRPr="002C1EE6">
        <w:t>have now</w:t>
      </w:r>
      <w:r w:rsidR="008E338D">
        <w:t xml:space="preserve"> ceased to operate.</w:t>
      </w:r>
      <w:r w:rsidR="002C1EE6">
        <w:t xml:space="preserve"> This is </w:t>
      </w:r>
      <w:r w:rsidR="00832FC6" w:rsidRPr="002C1EE6">
        <w:t xml:space="preserve">despite the growing focus </w:t>
      </w:r>
      <w:r w:rsidR="000D5D9E" w:rsidRPr="002C1EE6">
        <w:t xml:space="preserve">nationally </w:t>
      </w:r>
      <w:r w:rsidR="00546B35" w:rsidRPr="002C1EE6">
        <w:t>on water issues</w:t>
      </w:r>
      <w:r w:rsidR="002D4F7F" w:rsidRPr="002C1EE6">
        <w:t>,</w:t>
      </w:r>
      <w:r w:rsidR="00546B35" w:rsidRPr="002C1EE6">
        <w:t xml:space="preserve"> and the imperative</w:t>
      </w:r>
      <w:r w:rsidR="00832FC6" w:rsidRPr="002C1EE6">
        <w:t xml:space="preserve"> to educate the ne</w:t>
      </w:r>
      <w:r w:rsidR="0090325B">
        <w:t xml:space="preserve">xt generation about current </w:t>
      </w:r>
      <w:r w:rsidR="007850EC">
        <w:t xml:space="preserve">and future </w:t>
      </w:r>
      <w:r w:rsidR="0090325B">
        <w:t>challenges to our water quality and availability</w:t>
      </w:r>
      <w:r w:rsidR="00832FC6" w:rsidRPr="002C1EE6">
        <w:t xml:space="preserve">. </w:t>
      </w:r>
    </w:p>
    <w:p w14:paraId="43F14EE0" w14:textId="77777777" w:rsidR="00C82400" w:rsidRPr="002C1EE6" w:rsidRDefault="00832FC6" w:rsidP="000E01A4">
      <w:pPr>
        <w:spacing w:after="240"/>
        <w:jc w:val="both"/>
      </w:pPr>
      <w:r w:rsidRPr="002C1EE6">
        <w:t xml:space="preserve">Of the few remaining programmes </w:t>
      </w:r>
      <w:r w:rsidR="002C1EE6">
        <w:t>still operating</w:t>
      </w:r>
      <w:r w:rsidR="002D4F7F" w:rsidRPr="002C1EE6">
        <w:t>,</w:t>
      </w:r>
      <w:r w:rsidR="00546B35" w:rsidRPr="002C1EE6">
        <w:t xml:space="preserve"> </w:t>
      </w:r>
      <w:r w:rsidR="000D5D9E" w:rsidRPr="002C1EE6">
        <w:t xml:space="preserve">only </w:t>
      </w:r>
      <w:r w:rsidRPr="002C1EE6">
        <w:t>Waterwatch</w:t>
      </w:r>
      <w:r w:rsidR="008B5B93" w:rsidRPr="002C1EE6">
        <w:t xml:space="preserve"> is enabling students</w:t>
      </w:r>
      <w:r w:rsidR="0090325B">
        <w:t xml:space="preserve"> to get outdoors and </w:t>
      </w:r>
      <w:r w:rsidR="008B5B93" w:rsidRPr="002C1EE6">
        <w:t>use</w:t>
      </w:r>
      <w:r w:rsidRPr="002C1EE6">
        <w:t xml:space="preserve"> sophisticated yet easy-to-use instruments</w:t>
      </w:r>
      <w:r w:rsidR="0090325B">
        <w:t>. These instruments deliver</w:t>
      </w:r>
      <w:r w:rsidRPr="002C1EE6">
        <w:t xml:space="preserve"> scientificall</w:t>
      </w:r>
      <w:r w:rsidR="0090325B">
        <w:t>y-</w:t>
      </w:r>
      <w:r w:rsidRPr="002C1EE6">
        <w:t xml:space="preserve">robust </w:t>
      </w:r>
      <w:r w:rsidR="000D5D9E" w:rsidRPr="002C1EE6">
        <w:t xml:space="preserve">test </w:t>
      </w:r>
      <w:r w:rsidRPr="002C1EE6">
        <w:t>results</w:t>
      </w:r>
      <w:r w:rsidR="002D4F7F" w:rsidRPr="002C1EE6">
        <w:t xml:space="preserve"> which are reliable indicators of water quality</w:t>
      </w:r>
      <w:r w:rsidRPr="002C1EE6">
        <w:t>.</w:t>
      </w:r>
      <w:r w:rsidR="00CA5CB7" w:rsidRPr="002C1EE6">
        <w:t xml:space="preserve"> The </w:t>
      </w:r>
      <w:r w:rsidR="000A78B1" w:rsidRPr="002C1EE6">
        <w:t xml:space="preserve">test </w:t>
      </w:r>
      <w:r w:rsidR="00CA5CB7" w:rsidRPr="002C1EE6">
        <w:t>resu</w:t>
      </w:r>
      <w:r w:rsidR="00E16341" w:rsidRPr="002C1EE6">
        <w:t>lt</w:t>
      </w:r>
      <w:r w:rsidR="002C1EE6">
        <w:t>s</w:t>
      </w:r>
      <w:r w:rsidR="00E16341" w:rsidRPr="002C1EE6">
        <w:t xml:space="preserve"> are entered</w:t>
      </w:r>
      <w:r w:rsidR="00E70FD9" w:rsidRPr="002C1EE6">
        <w:t xml:space="preserve"> into a database which until recently was</w:t>
      </w:r>
      <w:r w:rsidR="00CA5CB7" w:rsidRPr="002C1EE6">
        <w:t xml:space="preserve"> acce</w:t>
      </w:r>
      <w:r w:rsidR="00E16341" w:rsidRPr="002C1EE6">
        <w:t xml:space="preserve">ssible to anyone on our </w:t>
      </w:r>
      <w:r w:rsidR="000A78B1" w:rsidRPr="002C1EE6">
        <w:t xml:space="preserve">Lincoln </w:t>
      </w:r>
      <w:r w:rsidR="0090325B">
        <w:t xml:space="preserve">University </w:t>
      </w:r>
      <w:r w:rsidR="00E16341" w:rsidRPr="002C1EE6">
        <w:t>web page</w:t>
      </w:r>
      <w:r w:rsidR="00E70FD9" w:rsidRPr="002C1EE6">
        <w:t>.</w:t>
      </w:r>
      <w:r w:rsidR="000A78B1" w:rsidRPr="002C1EE6">
        <w:t xml:space="preserve"> </w:t>
      </w:r>
      <w:r w:rsidR="00370E5E">
        <w:t xml:space="preserve"> Now, the historical results for a specific site are available on request.</w:t>
      </w:r>
      <w:r w:rsidR="00E70FD9" w:rsidRPr="002C1EE6">
        <w:t xml:space="preserve"> Recording</w:t>
      </w:r>
      <w:r w:rsidR="00E16341" w:rsidRPr="002C1EE6">
        <w:t xml:space="preserve"> the GPS coordinat</w:t>
      </w:r>
      <w:r w:rsidR="00E70FD9" w:rsidRPr="002C1EE6">
        <w:t xml:space="preserve">es </w:t>
      </w:r>
      <w:r w:rsidR="00E16341" w:rsidRPr="002C1EE6">
        <w:t>enable</w:t>
      </w:r>
      <w:r w:rsidR="00E70FD9" w:rsidRPr="002C1EE6">
        <w:t>s</w:t>
      </w:r>
      <w:r w:rsidR="00CA5CB7" w:rsidRPr="002C1EE6">
        <w:t xml:space="preserve"> the location</w:t>
      </w:r>
      <w:r w:rsidR="00E16341" w:rsidRPr="002C1EE6">
        <w:t xml:space="preserve"> of a site</w:t>
      </w:r>
      <w:r w:rsidR="00CA5CB7" w:rsidRPr="002C1EE6">
        <w:t xml:space="preserve"> to be fixed on a map.</w:t>
      </w:r>
    </w:p>
    <w:p w14:paraId="1B6BBCA5" w14:textId="77777777" w:rsidR="00CC24B7" w:rsidRPr="00593410" w:rsidRDefault="00CC24B7" w:rsidP="001A5292">
      <w:pPr>
        <w:spacing w:after="80"/>
        <w:jc w:val="both"/>
        <w:rPr>
          <w:b/>
          <w:color w:val="17365D" w:themeColor="text2" w:themeShade="BF"/>
          <w:sz w:val="28"/>
          <w:szCs w:val="28"/>
        </w:rPr>
      </w:pPr>
      <w:r w:rsidRPr="00593410">
        <w:rPr>
          <w:b/>
          <w:color w:val="17365D" w:themeColor="text2" w:themeShade="BF"/>
          <w:sz w:val="28"/>
          <w:szCs w:val="28"/>
        </w:rPr>
        <w:t>Formation of the Waterwatch Education Trust</w:t>
      </w:r>
    </w:p>
    <w:p w14:paraId="0F30D48B" w14:textId="77777777" w:rsidR="002A12F6" w:rsidRPr="002C1EE6" w:rsidRDefault="00B44BA8" w:rsidP="002C1EE6">
      <w:pPr>
        <w:spacing w:after="240"/>
        <w:jc w:val="both"/>
      </w:pPr>
      <w:r w:rsidRPr="002C1EE6">
        <w:t>When Lincoln University</w:t>
      </w:r>
      <w:r w:rsidR="00A21410" w:rsidRPr="002C1EE6">
        <w:t xml:space="preserve"> decided to end its </w:t>
      </w:r>
      <w:r w:rsidR="002A12F6" w:rsidRPr="002C1EE6">
        <w:t xml:space="preserve">formal </w:t>
      </w:r>
      <w:r w:rsidR="00170958" w:rsidRPr="002C1EE6">
        <w:t>association</w:t>
      </w:r>
      <w:r w:rsidR="001A5292" w:rsidRPr="002C1EE6">
        <w:t xml:space="preserve"> with Wate</w:t>
      </w:r>
      <w:r w:rsidRPr="002C1EE6">
        <w:t xml:space="preserve">rwatch from April 2017, we </w:t>
      </w:r>
      <w:r w:rsidR="00170958" w:rsidRPr="002C1EE6">
        <w:t>establish</w:t>
      </w:r>
      <w:r w:rsidR="001923EC" w:rsidRPr="002C1EE6">
        <w:t>ed</w:t>
      </w:r>
      <w:r w:rsidR="001A5292" w:rsidRPr="002C1EE6">
        <w:t xml:space="preserve"> a charitable trust, The Waterwatch Education Trust, to secure the future of the </w:t>
      </w:r>
      <w:r w:rsidR="000A78B1" w:rsidRPr="002C1EE6">
        <w:t xml:space="preserve">unique </w:t>
      </w:r>
      <w:r w:rsidR="001A5292" w:rsidRPr="002C1EE6">
        <w:t xml:space="preserve">programme and its substantial assets. </w:t>
      </w:r>
      <w:r w:rsidR="0040540A" w:rsidRPr="002C1EE6">
        <w:t>The Trust is registered charity with Charities Services</w:t>
      </w:r>
      <w:r w:rsidR="00170958" w:rsidRPr="002C1EE6">
        <w:t xml:space="preserve"> </w:t>
      </w:r>
      <w:r w:rsidR="0040540A" w:rsidRPr="002C1EE6">
        <w:t>(Registration No. CC54564). We</w:t>
      </w:r>
      <w:r w:rsidR="00054F59" w:rsidRPr="002C1EE6">
        <w:t xml:space="preserve"> have tax exemption from IRD and</w:t>
      </w:r>
      <w:r w:rsidR="0040540A" w:rsidRPr="002C1EE6">
        <w:t xml:space="preserve"> also meet the </w:t>
      </w:r>
      <w:r w:rsidR="00170958" w:rsidRPr="002C1EE6">
        <w:t xml:space="preserve">IRD </w:t>
      </w:r>
      <w:r w:rsidR="0040540A" w:rsidRPr="002C1EE6">
        <w:t>qualifying criteria for done</w:t>
      </w:r>
      <w:r w:rsidR="00170958" w:rsidRPr="002C1EE6">
        <w:t>e</w:t>
      </w:r>
      <w:r w:rsidR="0040540A" w:rsidRPr="002C1EE6">
        <w:t xml:space="preserve"> organisation status so that companies can claim </w:t>
      </w:r>
      <w:r w:rsidR="00170958" w:rsidRPr="002C1EE6">
        <w:t>a deduction for any donations to Waterwatch.</w:t>
      </w:r>
    </w:p>
    <w:p w14:paraId="5F56A0BA" w14:textId="77777777" w:rsidR="001A5292" w:rsidRPr="002C1EE6" w:rsidRDefault="00B44BA8" w:rsidP="002C1EE6">
      <w:pPr>
        <w:spacing w:after="120"/>
        <w:jc w:val="both"/>
        <w:rPr>
          <w:rFonts w:eastAsia="Times New Roman"/>
        </w:rPr>
      </w:pPr>
      <w:r w:rsidRPr="002C1EE6">
        <w:rPr>
          <w:rFonts w:eastAsia="Times New Roman"/>
        </w:rPr>
        <w:t>The aims of the Trust are</w:t>
      </w:r>
      <w:r w:rsidR="001A5292" w:rsidRPr="002C1EE6">
        <w:rPr>
          <w:rFonts w:eastAsia="Times New Roman"/>
        </w:rPr>
        <w:t>:</w:t>
      </w:r>
    </w:p>
    <w:p w14:paraId="1960DD4F" w14:textId="77777777" w:rsidR="001A5292" w:rsidRPr="002C1EE6" w:rsidRDefault="001A5292" w:rsidP="002C1EE6">
      <w:pPr>
        <w:pStyle w:val="Default"/>
        <w:numPr>
          <w:ilvl w:val="0"/>
          <w:numId w:val="3"/>
        </w:numPr>
        <w:tabs>
          <w:tab w:val="clear" w:pos="1080"/>
          <w:tab w:val="num" w:pos="810"/>
        </w:tabs>
        <w:spacing w:after="240" w:line="276" w:lineRule="auto"/>
        <w:ind w:left="810" w:hanging="450"/>
        <w:jc w:val="both"/>
        <w:rPr>
          <w:rFonts w:asciiTheme="minorHAnsi" w:hAnsiTheme="minorHAnsi" w:cstheme="minorHAnsi"/>
          <w:sz w:val="22"/>
          <w:szCs w:val="22"/>
        </w:rPr>
      </w:pPr>
      <w:r w:rsidRPr="002C1EE6">
        <w:rPr>
          <w:rFonts w:asciiTheme="minorHAnsi" w:hAnsiTheme="minorHAnsi" w:cstheme="minorHAnsi"/>
          <w:sz w:val="22"/>
          <w:szCs w:val="22"/>
        </w:rPr>
        <w:t>To deliver, free of charge, outdoor education and training programmes to schools</w:t>
      </w:r>
      <w:r w:rsidR="00425944">
        <w:rPr>
          <w:rFonts w:asciiTheme="minorHAnsi" w:hAnsiTheme="minorHAnsi" w:cstheme="minorHAnsi"/>
          <w:sz w:val="22"/>
          <w:szCs w:val="22"/>
        </w:rPr>
        <w:t>, farming</w:t>
      </w:r>
      <w:r w:rsidRPr="002C1EE6">
        <w:rPr>
          <w:rFonts w:asciiTheme="minorHAnsi" w:hAnsiTheme="minorHAnsi" w:cstheme="minorHAnsi"/>
          <w:sz w:val="22"/>
          <w:szCs w:val="22"/>
        </w:rPr>
        <w:t xml:space="preserve"> and community groups on the topics of water quality, freshwater ecosystems</w:t>
      </w:r>
      <w:r w:rsidR="00636AA0" w:rsidRPr="002C1EE6">
        <w:rPr>
          <w:rFonts w:asciiTheme="minorHAnsi" w:hAnsiTheme="minorHAnsi" w:cstheme="minorHAnsi"/>
          <w:sz w:val="22"/>
          <w:szCs w:val="22"/>
        </w:rPr>
        <w:t>, sustainable land use</w:t>
      </w:r>
      <w:r w:rsidRPr="002C1EE6">
        <w:rPr>
          <w:rFonts w:asciiTheme="minorHAnsi" w:hAnsiTheme="minorHAnsi" w:cstheme="minorHAnsi"/>
          <w:sz w:val="22"/>
          <w:szCs w:val="22"/>
        </w:rPr>
        <w:t xml:space="preserve"> and contemporary water issues;</w:t>
      </w:r>
    </w:p>
    <w:p w14:paraId="3416DC18" w14:textId="77777777" w:rsidR="001A5292" w:rsidRPr="002C1EE6" w:rsidRDefault="001A5292" w:rsidP="002C1EE6">
      <w:pPr>
        <w:pStyle w:val="Default"/>
        <w:numPr>
          <w:ilvl w:val="0"/>
          <w:numId w:val="3"/>
        </w:numPr>
        <w:tabs>
          <w:tab w:val="clear" w:pos="1080"/>
          <w:tab w:val="num" w:pos="810"/>
        </w:tabs>
        <w:spacing w:after="240" w:line="276" w:lineRule="auto"/>
        <w:ind w:left="810" w:hanging="450"/>
        <w:jc w:val="both"/>
        <w:rPr>
          <w:rFonts w:asciiTheme="minorHAnsi" w:hAnsiTheme="minorHAnsi" w:cstheme="minorHAnsi"/>
          <w:sz w:val="22"/>
          <w:szCs w:val="22"/>
        </w:rPr>
      </w:pPr>
      <w:r w:rsidRPr="002C1EE6">
        <w:rPr>
          <w:rFonts w:asciiTheme="minorHAnsi" w:hAnsiTheme="minorHAnsi" w:cstheme="minorHAnsi"/>
          <w:sz w:val="22"/>
          <w:szCs w:val="22"/>
        </w:rPr>
        <w:t>To assist other regions to set up educational programmes on freshwater monitoring for schools and community groups</w:t>
      </w:r>
      <w:r w:rsidR="00636AA0" w:rsidRPr="002C1EE6">
        <w:rPr>
          <w:rFonts w:asciiTheme="minorHAnsi" w:hAnsiTheme="minorHAnsi" w:cstheme="minorHAnsi"/>
          <w:sz w:val="22"/>
          <w:szCs w:val="22"/>
        </w:rPr>
        <w:t xml:space="preserve"> to deliver the programmes set out in Aim 1</w:t>
      </w:r>
      <w:r w:rsidRPr="002C1EE6">
        <w:rPr>
          <w:rFonts w:asciiTheme="minorHAnsi" w:hAnsiTheme="minorHAnsi" w:cstheme="minorHAnsi"/>
          <w:sz w:val="22"/>
          <w:szCs w:val="22"/>
        </w:rPr>
        <w:t>;</w:t>
      </w:r>
    </w:p>
    <w:p w14:paraId="6C0647A1" w14:textId="77777777" w:rsidR="001A5292" w:rsidRPr="002C1EE6" w:rsidRDefault="001A5292" w:rsidP="002C1EE6">
      <w:pPr>
        <w:pStyle w:val="Default"/>
        <w:numPr>
          <w:ilvl w:val="0"/>
          <w:numId w:val="3"/>
        </w:numPr>
        <w:tabs>
          <w:tab w:val="clear" w:pos="1080"/>
          <w:tab w:val="num" w:pos="810"/>
        </w:tabs>
        <w:spacing w:after="240" w:line="276" w:lineRule="auto"/>
        <w:ind w:left="806" w:hanging="446"/>
        <w:jc w:val="both"/>
        <w:rPr>
          <w:rFonts w:asciiTheme="minorHAnsi" w:hAnsiTheme="minorHAnsi" w:cstheme="minorHAnsi"/>
          <w:sz w:val="22"/>
          <w:szCs w:val="22"/>
        </w:rPr>
      </w:pPr>
      <w:r w:rsidRPr="002C1EE6">
        <w:rPr>
          <w:rFonts w:asciiTheme="minorHAnsi" w:hAnsiTheme="minorHAnsi" w:cstheme="minorHAnsi"/>
          <w:sz w:val="22"/>
          <w:szCs w:val="22"/>
        </w:rPr>
        <w:t>To cooperate with other environmentally-involved organisations in initiatives and activities that promote Aim 1.</w:t>
      </w:r>
    </w:p>
    <w:p w14:paraId="47F6CD32" w14:textId="77777777" w:rsidR="0090325B" w:rsidRDefault="00C077DD" w:rsidP="000E01A4">
      <w:pPr>
        <w:spacing w:after="120"/>
        <w:jc w:val="both"/>
      </w:pPr>
      <w:r>
        <w:t xml:space="preserve">We have established a </w:t>
      </w:r>
      <w:r w:rsidR="00B44BA8" w:rsidRPr="002C1EE6">
        <w:t>relationship with the Biological Husbandry Unit</w:t>
      </w:r>
      <w:r w:rsidR="00A21410" w:rsidRPr="002C1EE6">
        <w:t xml:space="preserve">, near Lincoln, </w:t>
      </w:r>
      <w:r w:rsidR="001A5292" w:rsidRPr="002C1EE6">
        <w:t>to acquir</w:t>
      </w:r>
      <w:r w:rsidR="00A21410" w:rsidRPr="002C1EE6">
        <w:t xml:space="preserve">e a new conveniently-located base with an organisation that espouses similar </w:t>
      </w:r>
      <w:r>
        <w:t xml:space="preserve">environmental </w:t>
      </w:r>
      <w:r w:rsidR="00A21410" w:rsidRPr="002C1EE6">
        <w:t>values to Waterwatch</w:t>
      </w:r>
      <w:r w:rsidR="001A5292" w:rsidRPr="002C1EE6">
        <w:t xml:space="preserve">. </w:t>
      </w:r>
    </w:p>
    <w:p w14:paraId="622ACB9B" w14:textId="77777777" w:rsidR="00CC05F3" w:rsidRPr="002C1EE6" w:rsidRDefault="001A5292" w:rsidP="000E01A4">
      <w:pPr>
        <w:spacing w:after="120"/>
        <w:jc w:val="both"/>
      </w:pPr>
      <w:r w:rsidRPr="002C1EE6">
        <w:t xml:space="preserve">To finance its </w:t>
      </w:r>
      <w:r w:rsidR="001923EC" w:rsidRPr="002C1EE6">
        <w:t xml:space="preserve">future </w:t>
      </w:r>
      <w:r w:rsidRPr="002C1EE6">
        <w:t>operations the Waterwatch Education Trust will</w:t>
      </w:r>
      <w:r w:rsidR="00A21410" w:rsidRPr="002C1EE6">
        <w:t xml:space="preserve"> be</w:t>
      </w:r>
      <w:r w:rsidRPr="002C1EE6">
        <w:t xml:space="preserve"> seek</w:t>
      </w:r>
      <w:r w:rsidR="00A21410" w:rsidRPr="002C1EE6">
        <w:t>ing</w:t>
      </w:r>
      <w:r w:rsidR="000A78B1" w:rsidRPr="002C1EE6">
        <w:t xml:space="preserve"> funding support from organisations and businesses having</w:t>
      </w:r>
      <w:r w:rsidRPr="002C1EE6">
        <w:t xml:space="preserve"> a vested interest in water quality and utilisation</w:t>
      </w:r>
      <w:r w:rsidR="00C077DD">
        <w:t>, as well as those that have a passion for environmental education</w:t>
      </w:r>
      <w:r w:rsidRPr="002C1EE6">
        <w:t xml:space="preserve">. </w:t>
      </w:r>
      <w:r w:rsidR="001923EC" w:rsidRPr="002C1EE6">
        <w:t xml:space="preserve">While the Rata Foundation (formerly the Canterbury Community Trust) has been a major funder of Waterwatch for many years, its funding alone cannot fully meet our </w:t>
      </w:r>
      <w:r w:rsidR="007850EC">
        <w:t xml:space="preserve">operating </w:t>
      </w:r>
      <w:r w:rsidR="001923EC" w:rsidRPr="002C1EE6">
        <w:t>costs</w:t>
      </w:r>
      <w:r w:rsidR="008E338D">
        <w:t xml:space="preserve"> (e</w:t>
      </w:r>
      <w:r w:rsidR="007850EC">
        <w:t>ducators</w:t>
      </w:r>
      <w:r w:rsidR="008E338D">
        <w:t>’</w:t>
      </w:r>
      <w:r w:rsidR="007850EC">
        <w:t xml:space="preserve"> wages, </w:t>
      </w:r>
      <w:r w:rsidR="00C077DD">
        <w:t xml:space="preserve">administration, </w:t>
      </w:r>
      <w:r w:rsidR="007850EC">
        <w:t>vehicle operating</w:t>
      </w:r>
      <w:r w:rsidR="000E01A4">
        <w:t xml:space="preserve"> costs</w:t>
      </w:r>
      <w:r w:rsidR="007850EC">
        <w:t>, equipment maintenance and replacement, consumables etc.)</w:t>
      </w:r>
      <w:r w:rsidR="001923EC" w:rsidRPr="002C1EE6">
        <w:t xml:space="preserve">. </w:t>
      </w:r>
      <w:r w:rsidR="000E01A4">
        <w:t xml:space="preserve">Through their support of </w:t>
      </w:r>
      <w:r w:rsidR="00B44BA8" w:rsidRPr="002C1EE6">
        <w:t>Wa</w:t>
      </w:r>
      <w:r w:rsidR="001923EC" w:rsidRPr="002C1EE6">
        <w:t xml:space="preserve">terwatch, </w:t>
      </w:r>
      <w:r w:rsidR="00B44BA8" w:rsidRPr="002C1EE6">
        <w:t>b</w:t>
      </w:r>
      <w:r w:rsidR="00A21410" w:rsidRPr="002C1EE6">
        <w:t xml:space="preserve">usinesses </w:t>
      </w:r>
      <w:r w:rsidR="000E01A4">
        <w:t xml:space="preserve">and other organisations </w:t>
      </w:r>
      <w:r w:rsidR="00A21410" w:rsidRPr="002C1EE6">
        <w:t>can</w:t>
      </w:r>
      <w:r w:rsidR="00B44BA8" w:rsidRPr="002C1EE6">
        <w:t xml:space="preserve"> demonstrate their commitment to educating the younger generation and the wider community</w:t>
      </w:r>
      <w:r w:rsidR="00A21410" w:rsidRPr="002C1EE6">
        <w:t xml:space="preserve"> about the value of water</w:t>
      </w:r>
      <w:r w:rsidR="000A78B1" w:rsidRPr="002C1EE6">
        <w:t xml:space="preserve"> to our lives</w:t>
      </w:r>
      <w:r w:rsidR="00B44BA8" w:rsidRPr="002C1EE6">
        <w:t>.</w:t>
      </w:r>
      <w:r w:rsidR="00CC24B7" w:rsidRPr="002C1EE6">
        <w:t xml:space="preserve"> Their sponsorship will be acknowledged in our publications</w:t>
      </w:r>
      <w:r w:rsidR="00A21410" w:rsidRPr="002C1EE6">
        <w:t>, news releases</w:t>
      </w:r>
      <w:r w:rsidR="00CC24B7" w:rsidRPr="002C1EE6">
        <w:t xml:space="preserve"> and web site</w:t>
      </w:r>
      <w:r w:rsidR="00170958" w:rsidRPr="002C1EE6">
        <w:t>,</w:t>
      </w:r>
      <w:r w:rsidR="00CC24B7" w:rsidRPr="002C1EE6">
        <w:t xml:space="preserve"> and by other means (eg, vehicle signage</w:t>
      </w:r>
      <w:r w:rsidR="00170958" w:rsidRPr="002C1EE6">
        <w:t xml:space="preserve"> for major sponsors</w:t>
      </w:r>
      <w:r w:rsidR="00CC24B7" w:rsidRPr="002C1EE6">
        <w:t>).</w:t>
      </w:r>
    </w:p>
    <w:p w14:paraId="1ED1EE59" w14:textId="77777777" w:rsidR="00B44BA8" w:rsidRDefault="00B44BA8" w:rsidP="00B44BA8">
      <w:pPr>
        <w:jc w:val="both"/>
      </w:pPr>
      <w:r w:rsidRPr="002C1EE6">
        <w:t xml:space="preserve">We are also keen to cooperate with other </w:t>
      </w:r>
      <w:r w:rsidR="00CC24B7" w:rsidRPr="002C1EE6">
        <w:t>groups</w:t>
      </w:r>
      <w:r w:rsidRPr="002C1EE6">
        <w:t xml:space="preserve"> who provide</w:t>
      </w:r>
      <w:r w:rsidR="00A21410" w:rsidRPr="002C1EE6">
        <w:t xml:space="preserve"> (or wish to provide)</w:t>
      </w:r>
      <w:r w:rsidRPr="002C1EE6">
        <w:t xml:space="preserve"> outdoor experiences for young people.</w:t>
      </w:r>
      <w:r w:rsidR="00CC24B7" w:rsidRPr="002C1EE6">
        <w:t xml:space="preserve"> This </w:t>
      </w:r>
      <w:r w:rsidR="000A78B1" w:rsidRPr="002C1EE6">
        <w:t>invitation could</w:t>
      </w:r>
      <w:r w:rsidR="00CC24B7" w:rsidRPr="002C1EE6">
        <w:t xml:space="preserve"> include groups outside Canterbury who are keen to establ</w:t>
      </w:r>
      <w:r w:rsidR="000A78B1" w:rsidRPr="002C1EE6">
        <w:t>ish a programme similar to ours, perhaps extending the Waterwatch “brand” nationwide.</w:t>
      </w:r>
    </w:p>
    <w:p w14:paraId="76B19B87" w14:textId="77777777" w:rsidR="00425944" w:rsidRDefault="00425944" w:rsidP="00B44BA8">
      <w:pPr>
        <w:jc w:val="both"/>
      </w:pPr>
      <w:r>
        <w:lastRenderedPageBreak/>
        <w:t>The farming community is becoming increasingly concerned about the impact of their operations on water quality. We are willing to introduce farming groups to the concepts and methods of water quality testing so that they may establish their own capabilities in this area. Enquiries are welcome via our web site:</w:t>
      </w:r>
    </w:p>
    <w:p w14:paraId="16A88A06" w14:textId="77777777" w:rsidR="00425944" w:rsidRPr="00425944" w:rsidRDefault="00425944" w:rsidP="00425944">
      <w:pPr>
        <w:jc w:val="center"/>
        <w:rPr>
          <w:b/>
          <w:sz w:val="28"/>
          <w:szCs w:val="28"/>
        </w:rPr>
      </w:pPr>
      <w:r w:rsidRPr="00425944">
        <w:rPr>
          <w:b/>
          <w:sz w:val="28"/>
          <w:szCs w:val="28"/>
        </w:rPr>
        <w:t>www.waterwatch.co.nz</w:t>
      </w:r>
    </w:p>
    <w:p w14:paraId="5AC3C4F2" w14:textId="77777777" w:rsidR="00425944" w:rsidRDefault="00425944" w:rsidP="0090325B">
      <w:pPr>
        <w:rPr>
          <w:rFonts w:eastAsia="Times New Roman"/>
          <w:b/>
          <w:color w:val="17365D" w:themeColor="text2" w:themeShade="BF"/>
          <w:sz w:val="28"/>
          <w:szCs w:val="28"/>
        </w:rPr>
      </w:pPr>
    </w:p>
    <w:p w14:paraId="23675DAB" w14:textId="77777777" w:rsidR="00C82400" w:rsidRPr="002C1EE6" w:rsidRDefault="00C82400" w:rsidP="0090325B">
      <w:pPr>
        <w:rPr>
          <w:rFonts w:eastAsia="Times New Roman"/>
          <w:b/>
          <w:sz w:val="28"/>
          <w:szCs w:val="28"/>
        </w:rPr>
      </w:pPr>
      <w:r w:rsidRPr="00593410">
        <w:rPr>
          <w:rFonts w:eastAsia="Times New Roman"/>
          <w:b/>
          <w:color w:val="17365D" w:themeColor="text2" w:themeShade="BF"/>
          <w:sz w:val="28"/>
          <w:szCs w:val="28"/>
        </w:rPr>
        <w:t>The Waterwatch team</w:t>
      </w:r>
    </w:p>
    <w:p w14:paraId="4F813639" w14:textId="77777777" w:rsidR="00C82400" w:rsidRPr="002C1EE6" w:rsidRDefault="00DC465D" w:rsidP="002C1EE6">
      <w:pPr>
        <w:spacing w:after="240"/>
        <w:jc w:val="both"/>
        <w:rPr>
          <w:rFonts w:eastAsia="Times New Roman"/>
        </w:rPr>
      </w:pPr>
      <w:r w:rsidRPr="002C1EE6">
        <w:rPr>
          <w:rFonts w:eastAsia="Times New Roman"/>
        </w:rPr>
        <w:t>Our</w:t>
      </w:r>
      <w:r w:rsidR="00C82400" w:rsidRPr="002C1EE6">
        <w:rPr>
          <w:rFonts w:eastAsia="Times New Roman"/>
        </w:rPr>
        <w:t xml:space="preserve"> </w:t>
      </w:r>
      <w:r w:rsidR="00CC24B7" w:rsidRPr="002C1EE6">
        <w:rPr>
          <w:rFonts w:eastAsia="Times New Roman"/>
        </w:rPr>
        <w:t>team is a small, enthusiastic</w:t>
      </w:r>
      <w:r w:rsidR="00C82400" w:rsidRPr="002C1EE6">
        <w:rPr>
          <w:rFonts w:eastAsia="Times New Roman"/>
        </w:rPr>
        <w:t xml:space="preserve"> group of </w:t>
      </w:r>
      <w:r w:rsidR="00FA2F27" w:rsidRPr="002C1EE6">
        <w:rPr>
          <w:rFonts w:eastAsia="Times New Roman"/>
        </w:rPr>
        <w:t>retired scientists and teachers</w:t>
      </w:r>
      <w:r w:rsidR="00C82400" w:rsidRPr="002C1EE6">
        <w:rPr>
          <w:rFonts w:eastAsia="Times New Roman"/>
        </w:rPr>
        <w:t xml:space="preserve"> with complementary skills and experience relevant to Waterwatch</w:t>
      </w:r>
      <w:r w:rsidR="001A5292" w:rsidRPr="002C1EE6">
        <w:rPr>
          <w:rFonts w:eastAsia="Times New Roman"/>
        </w:rPr>
        <w:t>.</w:t>
      </w:r>
      <w:r w:rsidR="0090325B">
        <w:rPr>
          <w:rFonts w:eastAsia="Times New Roman"/>
        </w:rPr>
        <w:t xml:space="preserve"> The trustee</w:t>
      </w:r>
      <w:r w:rsidR="00CC24B7" w:rsidRPr="002C1EE6">
        <w:rPr>
          <w:rFonts w:eastAsia="Times New Roman"/>
        </w:rPr>
        <w:t>s</w:t>
      </w:r>
      <w:r w:rsidR="009C59DC">
        <w:rPr>
          <w:rFonts w:eastAsia="Times New Roman"/>
        </w:rPr>
        <w:t xml:space="preserve"> of the Waterwatch Education Trust</w:t>
      </w:r>
      <w:r w:rsidR="0090325B">
        <w:rPr>
          <w:rFonts w:eastAsia="Times New Roman"/>
        </w:rPr>
        <w:t xml:space="preserve"> are</w:t>
      </w:r>
      <w:r w:rsidR="00CC24B7" w:rsidRPr="002C1EE6">
        <w:rPr>
          <w:rFonts w:eastAsia="Times New Roman"/>
        </w:rPr>
        <w:t>:</w:t>
      </w:r>
    </w:p>
    <w:p w14:paraId="2B09FF07" w14:textId="77777777" w:rsidR="00C82400" w:rsidRPr="002C1EE6" w:rsidRDefault="00C077DD" w:rsidP="002C1EE6">
      <w:pPr>
        <w:spacing w:after="240"/>
        <w:jc w:val="both"/>
        <w:rPr>
          <w:rFonts w:eastAsia="Times New Roman"/>
        </w:rPr>
      </w:pPr>
      <w:r>
        <w:rPr>
          <w:rFonts w:eastAsia="Times New Roman"/>
        </w:rPr>
        <w:t xml:space="preserve">Mr </w:t>
      </w:r>
      <w:r w:rsidR="00C82400" w:rsidRPr="002C1EE6">
        <w:rPr>
          <w:rFonts w:eastAsia="Times New Roman"/>
        </w:rPr>
        <w:t>Kelvin Nicolle:  Formerly with New Zealand Meteorological Service, Senior Tutor at Lincoln University, co-founder of the Waterwatch</w:t>
      </w:r>
      <w:r w:rsidR="00E350D4" w:rsidRPr="002C1EE6">
        <w:rPr>
          <w:rFonts w:eastAsia="Times New Roman"/>
        </w:rPr>
        <w:t xml:space="preserve"> programme </w:t>
      </w:r>
      <w:r w:rsidR="00CC24B7" w:rsidRPr="002C1EE6">
        <w:rPr>
          <w:rFonts w:eastAsia="Times New Roman"/>
        </w:rPr>
        <w:t xml:space="preserve">over </w:t>
      </w:r>
      <w:r w:rsidR="00E350D4" w:rsidRPr="002C1EE6">
        <w:rPr>
          <w:rFonts w:eastAsia="Times New Roman"/>
        </w:rPr>
        <w:t xml:space="preserve">20 years ago and </w:t>
      </w:r>
      <w:r w:rsidR="00BE36FC">
        <w:rPr>
          <w:rFonts w:eastAsia="Times New Roman"/>
        </w:rPr>
        <w:t>manager of Waterwatch</w:t>
      </w:r>
      <w:r w:rsidR="00C82400" w:rsidRPr="002C1EE6">
        <w:rPr>
          <w:rFonts w:eastAsia="Times New Roman"/>
        </w:rPr>
        <w:t xml:space="preserve"> operations up to his retirement from the university in 2014.</w:t>
      </w:r>
      <w:r w:rsidR="00FA2F27" w:rsidRPr="002C1EE6">
        <w:rPr>
          <w:rFonts w:eastAsia="Times New Roman"/>
        </w:rPr>
        <w:t xml:space="preserve"> Kelvin </w:t>
      </w:r>
      <w:r w:rsidR="007850EC">
        <w:rPr>
          <w:rFonts w:eastAsia="Times New Roman"/>
        </w:rPr>
        <w:t xml:space="preserve">now </w:t>
      </w:r>
      <w:r w:rsidR="00FA2F27" w:rsidRPr="002C1EE6">
        <w:rPr>
          <w:rFonts w:eastAsia="Times New Roman"/>
        </w:rPr>
        <w:t>c</w:t>
      </w:r>
      <w:r w:rsidR="00D41D06" w:rsidRPr="002C1EE6">
        <w:rPr>
          <w:rFonts w:eastAsia="Times New Roman"/>
        </w:rPr>
        <w:t>oordinates the programme</w:t>
      </w:r>
      <w:r w:rsidR="000A78B1" w:rsidRPr="002C1EE6">
        <w:rPr>
          <w:rFonts w:eastAsia="Times New Roman"/>
        </w:rPr>
        <w:t xml:space="preserve">, </w:t>
      </w:r>
      <w:r w:rsidR="00BE36FC">
        <w:rPr>
          <w:rFonts w:eastAsia="Times New Roman"/>
        </w:rPr>
        <w:t>is C</w:t>
      </w:r>
      <w:r w:rsidR="007850EC">
        <w:rPr>
          <w:rFonts w:eastAsia="Times New Roman"/>
        </w:rPr>
        <w:t xml:space="preserve">hairman of the Trust </w:t>
      </w:r>
      <w:r w:rsidR="000A78B1" w:rsidRPr="002C1EE6">
        <w:rPr>
          <w:rFonts w:eastAsia="Times New Roman"/>
        </w:rPr>
        <w:t>and is a Waterwatch educator.</w:t>
      </w:r>
    </w:p>
    <w:p w14:paraId="39896C9C" w14:textId="77777777" w:rsidR="00C82400" w:rsidRPr="002C1EE6" w:rsidRDefault="00C82400" w:rsidP="002C1EE6">
      <w:pPr>
        <w:spacing w:after="240"/>
        <w:jc w:val="both"/>
        <w:rPr>
          <w:rFonts w:eastAsia="Times New Roman"/>
        </w:rPr>
      </w:pPr>
      <w:r w:rsidRPr="002C1EE6">
        <w:rPr>
          <w:rFonts w:eastAsia="Times New Roman"/>
        </w:rPr>
        <w:t>Dr Sue Jarvis QSM</w:t>
      </w:r>
      <w:r w:rsidR="000B4D17" w:rsidRPr="002C1EE6">
        <w:rPr>
          <w:rFonts w:eastAsia="Times New Roman"/>
        </w:rPr>
        <w:t>: Former</w:t>
      </w:r>
      <w:r w:rsidRPr="002C1EE6">
        <w:rPr>
          <w:rFonts w:eastAsia="Times New Roman"/>
        </w:rPr>
        <w:t xml:space="preserve"> Head of Biology at Lincoln High School, Chair of Lincoln Enviro</w:t>
      </w:r>
      <w:r w:rsidR="00567CE1" w:rsidRPr="002C1EE6">
        <w:rPr>
          <w:rFonts w:eastAsia="Times New Roman"/>
        </w:rPr>
        <w:t>town Trust from its inception</w:t>
      </w:r>
      <w:r w:rsidRPr="002C1EE6">
        <w:rPr>
          <w:rFonts w:eastAsia="Times New Roman"/>
        </w:rPr>
        <w:t xml:space="preserve"> until 2015. Sue is currently Adjunct Senior Lecturer at Lincoln University</w:t>
      </w:r>
      <w:r w:rsidR="00647239">
        <w:rPr>
          <w:rFonts w:eastAsia="Times New Roman"/>
        </w:rPr>
        <w:t>, Deputy Chair of the Trust,</w:t>
      </w:r>
      <w:r w:rsidRPr="002C1EE6">
        <w:rPr>
          <w:rFonts w:eastAsia="Times New Roman"/>
        </w:rPr>
        <w:t xml:space="preserve"> and is our curriculum adviser to schools.</w:t>
      </w:r>
    </w:p>
    <w:p w14:paraId="681877EF" w14:textId="77777777" w:rsidR="00C82400" w:rsidRPr="002C1EE6" w:rsidRDefault="000B4D17" w:rsidP="002C1EE6">
      <w:pPr>
        <w:spacing w:after="240"/>
        <w:jc w:val="both"/>
        <w:rPr>
          <w:rFonts w:eastAsia="Times New Roman"/>
        </w:rPr>
      </w:pPr>
      <w:r w:rsidRPr="002C1EE6">
        <w:rPr>
          <w:rFonts w:eastAsia="Times New Roman"/>
        </w:rPr>
        <w:t>Dr Errol Wood: Former</w:t>
      </w:r>
      <w:r w:rsidR="00C82400" w:rsidRPr="002C1EE6">
        <w:rPr>
          <w:rFonts w:eastAsia="Times New Roman"/>
        </w:rPr>
        <w:t xml:space="preserve"> teacher of physics and mathematics at Cashmere High School, Head of Physics and Measurement Division at Wool Research Organisation of New Zealand, half-time professor and HOD in Department of Wool Science and Technology at Lincoln University, Education Services Manager at AgResearch. </w:t>
      </w:r>
      <w:r w:rsidR="007850EC">
        <w:rPr>
          <w:rFonts w:eastAsia="Times New Roman"/>
        </w:rPr>
        <w:t>Errol is</w:t>
      </w:r>
      <w:r w:rsidR="00455978">
        <w:rPr>
          <w:rFonts w:eastAsia="Times New Roman"/>
        </w:rPr>
        <w:t xml:space="preserve"> now</w:t>
      </w:r>
      <w:r w:rsidR="007850EC">
        <w:rPr>
          <w:rFonts w:eastAsia="Times New Roman"/>
        </w:rPr>
        <w:t xml:space="preserve"> a Waterwatch educator</w:t>
      </w:r>
      <w:r w:rsidR="00BE36FC">
        <w:rPr>
          <w:rFonts w:eastAsia="Times New Roman"/>
        </w:rPr>
        <w:t xml:space="preserve"> and T</w:t>
      </w:r>
      <w:r w:rsidR="007850EC">
        <w:rPr>
          <w:rFonts w:eastAsia="Times New Roman"/>
        </w:rPr>
        <w:t>reasurer of the Trust.</w:t>
      </w:r>
    </w:p>
    <w:p w14:paraId="0DBDEECF" w14:textId="77777777" w:rsidR="00C82400" w:rsidRPr="002C1EE6" w:rsidRDefault="00C82400" w:rsidP="002C1EE6">
      <w:pPr>
        <w:spacing w:after="240"/>
        <w:jc w:val="both"/>
        <w:rPr>
          <w:rFonts w:eastAsia="Times New Roman"/>
        </w:rPr>
      </w:pPr>
      <w:r w:rsidRPr="002C1EE6">
        <w:rPr>
          <w:rFonts w:eastAsia="Times New Roman"/>
        </w:rPr>
        <w:t>Dr Jonet Ward, a</w:t>
      </w:r>
      <w:r w:rsidR="000A78B1" w:rsidRPr="002C1EE6">
        <w:rPr>
          <w:rFonts w:eastAsia="Times New Roman"/>
        </w:rPr>
        <w:t xml:space="preserve"> freshwater ecologist and retired</w:t>
      </w:r>
      <w:r w:rsidRPr="002C1EE6">
        <w:rPr>
          <w:rFonts w:eastAsia="Times New Roman"/>
        </w:rPr>
        <w:t xml:space="preserve"> senior lecturer at Lincoln University</w:t>
      </w:r>
      <w:r w:rsidR="00361892" w:rsidRPr="002C1EE6">
        <w:rPr>
          <w:rFonts w:eastAsia="Times New Roman"/>
        </w:rPr>
        <w:t>,</w:t>
      </w:r>
      <w:r w:rsidRPr="002C1EE6">
        <w:rPr>
          <w:rFonts w:eastAsia="Times New Roman"/>
        </w:rPr>
        <w:t xml:space="preserve"> was a co-founder of the Waterwa</w:t>
      </w:r>
      <w:r w:rsidR="000A78B1" w:rsidRPr="002C1EE6">
        <w:rPr>
          <w:rFonts w:eastAsia="Times New Roman"/>
        </w:rPr>
        <w:t>tch programme</w:t>
      </w:r>
      <w:r w:rsidRPr="002C1EE6">
        <w:rPr>
          <w:rFonts w:eastAsia="Times New Roman"/>
        </w:rPr>
        <w:t>.</w:t>
      </w:r>
      <w:r w:rsidR="00CC24B7" w:rsidRPr="002C1EE6">
        <w:rPr>
          <w:rFonts w:eastAsia="Times New Roman"/>
        </w:rPr>
        <w:t xml:space="preserve"> </w:t>
      </w:r>
      <w:r w:rsidR="00BE36FC">
        <w:rPr>
          <w:rFonts w:eastAsia="Times New Roman"/>
        </w:rPr>
        <w:t>Jonet is now S</w:t>
      </w:r>
      <w:r w:rsidR="007850EC">
        <w:rPr>
          <w:rFonts w:eastAsia="Times New Roman"/>
        </w:rPr>
        <w:t>ecretary of the Trust</w:t>
      </w:r>
      <w:r w:rsidR="00370E5E">
        <w:rPr>
          <w:rFonts w:eastAsia="Times New Roman"/>
        </w:rPr>
        <w:t>.</w:t>
      </w:r>
    </w:p>
    <w:p w14:paraId="4A7F2CA7" w14:textId="77777777" w:rsidR="008D212D" w:rsidRPr="002C1EE6" w:rsidRDefault="00B44BA8" w:rsidP="002C1EE6">
      <w:pPr>
        <w:spacing w:after="240"/>
        <w:jc w:val="both"/>
        <w:rPr>
          <w:rFonts w:eastAsia="Times New Roman"/>
        </w:rPr>
      </w:pPr>
      <w:r w:rsidRPr="002C1EE6">
        <w:rPr>
          <w:rFonts w:eastAsia="Times New Roman"/>
        </w:rPr>
        <w:t xml:space="preserve">In addition, </w:t>
      </w:r>
      <w:r w:rsidR="008D212D" w:rsidRPr="002C1EE6">
        <w:rPr>
          <w:rFonts w:eastAsia="Times New Roman"/>
        </w:rPr>
        <w:t>Mr Mike Glover, a Springston-based arti</w:t>
      </w:r>
      <w:r w:rsidR="00636AA0" w:rsidRPr="002C1EE6">
        <w:rPr>
          <w:rFonts w:eastAsia="Times New Roman"/>
        </w:rPr>
        <w:t xml:space="preserve">st and activist in water issues, </w:t>
      </w:r>
      <w:r w:rsidRPr="002C1EE6">
        <w:rPr>
          <w:rFonts w:eastAsia="Times New Roman"/>
        </w:rPr>
        <w:t xml:space="preserve">has </w:t>
      </w:r>
      <w:r w:rsidR="00417B4D" w:rsidRPr="002C1EE6">
        <w:rPr>
          <w:rFonts w:eastAsia="Times New Roman"/>
        </w:rPr>
        <w:t>been appointed</w:t>
      </w:r>
      <w:r w:rsidR="008D212D" w:rsidRPr="002C1EE6">
        <w:rPr>
          <w:rFonts w:eastAsia="Times New Roman"/>
        </w:rPr>
        <w:t xml:space="preserve"> a trustee.</w:t>
      </w:r>
    </w:p>
    <w:p w14:paraId="0BE0D804" w14:textId="2AE0F690" w:rsidR="002C1EE6" w:rsidRPr="002C1EE6" w:rsidRDefault="002C1EE6" w:rsidP="002C1EE6">
      <w:pPr>
        <w:spacing w:after="240"/>
        <w:jc w:val="both"/>
        <w:rPr>
          <w:rFonts w:eastAsia="Times New Roman"/>
        </w:rPr>
      </w:pPr>
      <w:r w:rsidRPr="002C1EE6">
        <w:rPr>
          <w:rFonts w:eastAsia="Times New Roman"/>
        </w:rPr>
        <w:t xml:space="preserve">Mr </w:t>
      </w:r>
      <w:r w:rsidR="00A63302">
        <w:rPr>
          <w:rFonts w:eastAsia="Times New Roman"/>
        </w:rPr>
        <w:t>Chris Konings</w:t>
      </w:r>
      <w:r w:rsidRPr="002C1EE6">
        <w:rPr>
          <w:rFonts w:eastAsia="Times New Roman"/>
        </w:rPr>
        <w:t xml:space="preserve"> is our Waterwatch Educator based in Timaru. He </w:t>
      </w:r>
      <w:r w:rsidR="00A63302">
        <w:rPr>
          <w:rFonts w:eastAsia="Times New Roman"/>
        </w:rPr>
        <w:t>delivers the programme to</w:t>
      </w:r>
      <w:r w:rsidRPr="002C1EE6">
        <w:rPr>
          <w:rFonts w:eastAsia="Times New Roman"/>
        </w:rPr>
        <w:t xml:space="preserve"> </w:t>
      </w:r>
      <w:r w:rsidR="007850EC">
        <w:rPr>
          <w:rFonts w:eastAsia="Times New Roman"/>
        </w:rPr>
        <w:t xml:space="preserve">the </w:t>
      </w:r>
      <w:r w:rsidRPr="002C1EE6">
        <w:rPr>
          <w:rFonts w:eastAsia="Times New Roman"/>
        </w:rPr>
        <w:t xml:space="preserve">schools </w:t>
      </w:r>
      <w:r w:rsidR="00BE36FC">
        <w:rPr>
          <w:rFonts w:eastAsia="Times New Roman"/>
        </w:rPr>
        <w:t xml:space="preserve">and community groups </w:t>
      </w:r>
      <w:r w:rsidRPr="002C1EE6">
        <w:rPr>
          <w:rFonts w:eastAsia="Times New Roman"/>
        </w:rPr>
        <w:t>in Mid and South Canterbury.</w:t>
      </w:r>
      <w:r w:rsidR="00A63302">
        <w:rPr>
          <w:rFonts w:eastAsia="Times New Roman"/>
        </w:rPr>
        <w:t xml:space="preserve"> At the start of 2018 Chris replaced Dennis Veal who provided great service</w:t>
      </w:r>
      <w:bookmarkStart w:id="0" w:name="_GoBack"/>
      <w:bookmarkEnd w:id="0"/>
      <w:r w:rsidR="00A63302">
        <w:rPr>
          <w:rFonts w:eastAsia="Times New Roman"/>
        </w:rPr>
        <w:t xml:space="preserve"> as our educator in the region for many years.</w:t>
      </w:r>
    </w:p>
    <w:sectPr w:rsidR="002C1EE6" w:rsidRPr="002C1EE6" w:rsidSect="0090325B">
      <w:footerReference w:type="default" r:id="rId9"/>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90254" w14:textId="77777777" w:rsidR="006F2CA4" w:rsidRDefault="006F2CA4" w:rsidP="004A042C">
      <w:pPr>
        <w:spacing w:after="0" w:line="240" w:lineRule="auto"/>
      </w:pPr>
      <w:r>
        <w:separator/>
      </w:r>
    </w:p>
  </w:endnote>
  <w:endnote w:type="continuationSeparator" w:id="0">
    <w:p w14:paraId="703BDF61" w14:textId="77777777" w:rsidR="006F2CA4" w:rsidRDefault="006F2CA4" w:rsidP="004A0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801969"/>
      <w:docPartObj>
        <w:docPartGallery w:val="Page Numbers (Bottom of Page)"/>
        <w:docPartUnique/>
      </w:docPartObj>
    </w:sdtPr>
    <w:sdtEndPr>
      <w:rPr>
        <w:noProof/>
      </w:rPr>
    </w:sdtEndPr>
    <w:sdtContent>
      <w:p w14:paraId="3406291B" w14:textId="67955C5D" w:rsidR="00567CE1" w:rsidRDefault="00567CE1">
        <w:pPr>
          <w:pStyle w:val="Footer"/>
          <w:jc w:val="center"/>
        </w:pPr>
        <w:r>
          <w:fldChar w:fldCharType="begin"/>
        </w:r>
        <w:r>
          <w:instrText xml:space="preserve"> PAGE   \* MERGEFORMAT </w:instrText>
        </w:r>
        <w:r>
          <w:fldChar w:fldCharType="separate"/>
        </w:r>
        <w:r w:rsidR="00A63302">
          <w:rPr>
            <w:noProof/>
          </w:rPr>
          <w:t>1</w:t>
        </w:r>
        <w:r>
          <w:rPr>
            <w:noProof/>
          </w:rPr>
          <w:fldChar w:fldCharType="end"/>
        </w:r>
      </w:p>
    </w:sdtContent>
  </w:sdt>
  <w:p w14:paraId="6B63B8AA" w14:textId="77777777" w:rsidR="00567CE1" w:rsidRDefault="00567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85F51" w14:textId="77777777" w:rsidR="006F2CA4" w:rsidRDefault="006F2CA4" w:rsidP="004A042C">
      <w:pPr>
        <w:spacing w:after="0" w:line="240" w:lineRule="auto"/>
      </w:pPr>
      <w:r>
        <w:separator/>
      </w:r>
    </w:p>
  </w:footnote>
  <w:footnote w:type="continuationSeparator" w:id="0">
    <w:p w14:paraId="4D22A6A2" w14:textId="77777777" w:rsidR="006F2CA4" w:rsidRDefault="006F2CA4" w:rsidP="004A04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6A07"/>
    <w:multiLevelType w:val="hybridMultilevel"/>
    <w:tmpl w:val="DEFCE5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565832BA"/>
    <w:multiLevelType w:val="hybridMultilevel"/>
    <w:tmpl w:val="868AC4A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7F984C56"/>
    <w:multiLevelType w:val="hybridMultilevel"/>
    <w:tmpl w:val="6D4C66D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A8D"/>
    <w:rsid w:val="00016371"/>
    <w:rsid w:val="000312C3"/>
    <w:rsid w:val="00054F59"/>
    <w:rsid w:val="00067FFD"/>
    <w:rsid w:val="0008320D"/>
    <w:rsid w:val="000928C3"/>
    <w:rsid w:val="000A3771"/>
    <w:rsid w:val="000A78B1"/>
    <w:rsid w:val="000B4D17"/>
    <w:rsid w:val="000D5D9E"/>
    <w:rsid w:val="000E01A4"/>
    <w:rsid w:val="000E32A2"/>
    <w:rsid w:val="0011332B"/>
    <w:rsid w:val="00145621"/>
    <w:rsid w:val="00170958"/>
    <w:rsid w:val="001923EC"/>
    <w:rsid w:val="001A5292"/>
    <w:rsid w:val="001C2212"/>
    <w:rsid w:val="001D239F"/>
    <w:rsid w:val="001E2B6D"/>
    <w:rsid w:val="00205B22"/>
    <w:rsid w:val="002A12F6"/>
    <w:rsid w:val="002C1EE6"/>
    <w:rsid w:val="002D4F7F"/>
    <w:rsid w:val="003164EC"/>
    <w:rsid w:val="00361892"/>
    <w:rsid w:val="00370E5E"/>
    <w:rsid w:val="00371C69"/>
    <w:rsid w:val="003B3E87"/>
    <w:rsid w:val="003D1BC2"/>
    <w:rsid w:val="0040540A"/>
    <w:rsid w:val="00417B4D"/>
    <w:rsid w:val="00425944"/>
    <w:rsid w:val="00446B21"/>
    <w:rsid w:val="00455978"/>
    <w:rsid w:val="004A042C"/>
    <w:rsid w:val="004D7C33"/>
    <w:rsid w:val="00546055"/>
    <w:rsid w:val="00546B35"/>
    <w:rsid w:val="005515A1"/>
    <w:rsid w:val="00567CE1"/>
    <w:rsid w:val="00593410"/>
    <w:rsid w:val="00593852"/>
    <w:rsid w:val="005B40F2"/>
    <w:rsid w:val="005F0590"/>
    <w:rsid w:val="00631205"/>
    <w:rsid w:val="00636AA0"/>
    <w:rsid w:val="00647239"/>
    <w:rsid w:val="00656A52"/>
    <w:rsid w:val="006A14C7"/>
    <w:rsid w:val="006F276F"/>
    <w:rsid w:val="006F2CA4"/>
    <w:rsid w:val="00713617"/>
    <w:rsid w:val="0074312B"/>
    <w:rsid w:val="00743EA3"/>
    <w:rsid w:val="00761A17"/>
    <w:rsid w:val="007850EC"/>
    <w:rsid w:val="007859C8"/>
    <w:rsid w:val="007A39F2"/>
    <w:rsid w:val="007A5607"/>
    <w:rsid w:val="007E2B89"/>
    <w:rsid w:val="007F3E4C"/>
    <w:rsid w:val="00814BA4"/>
    <w:rsid w:val="00826BC3"/>
    <w:rsid w:val="00827E0C"/>
    <w:rsid w:val="00832E16"/>
    <w:rsid w:val="00832FC6"/>
    <w:rsid w:val="00851243"/>
    <w:rsid w:val="00864281"/>
    <w:rsid w:val="00890AE6"/>
    <w:rsid w:val="008B5B93"/>
    <w:rsid w:val="008D028B"/>
    <w:rsid w:val="008D212D"/>
    <w:rsid w:val="008E338D"/>
    <w:rsid w:val="008F5E7F"/>
    <w:rsid w:val="0090325B"/>
    <w:rsid w:val="0096053A"/>
    <w:rsid w:val="00971A0D"/>
    <w:rsid w:val="0097222C"/>
    <w:rsid w:val="009C59DC"/>
    <w:rsid w:val="00A21410"/>
    <w:rsid w:val="00A34CB7"/>
    <w:rsid w:val="00A52918"/>
    <w:rsid w:val="00A63302"/>
    <w:rsid w:val="00A92F0C"/>
    <w:rsid w:val="00AB5F5B"/>
    <w:rsid w:val="00B27F1D"/>
    <w:rsid w:val="00B44BA8"/>
    <w:rsid w:val="00B450E3"/>
    <w:rsid w:val="00B50035"/>
    <w:rsid w:val="00B90820"/>
    <w:rsid w:val="00BD4217"/>
    <w:rsid w:val="00BE36FC"/>
    <w:rsid w:val="00C077DD"/>
    <w:rsid w:val="00C14DFB"/>
    <w:rsid w:val="00C42040"/>
    <w:rsid w:val="00C82400"/>
    <w:rsid w:val="00CA5CB7"/>
    <w:rsid w:val="00CC05F3"/>
    <w:rsid w:val="00CC24B7"/>
    <w:rsid w:val="00CE36C8"/>
    <w:rsid w:val="00D01E35"/>
    <w:rsid w:val="00D41D06"/>
    <w:rsid w:val="00D975A0"/>
    <w:rsid w:val="00DC0A8D"/>
    <w:rsid w:val="00DC465D"/>
    <w:rsid w:val="00E07AC5"/>
    <w:rsid w:val="00E16341"/>
    <w:rsid w:val="00E2507B"/>
    <w:rsid w:val="00E350D4"/>
    <w:rsid w:val="00E37B66"/>
    <w:rsid w:val="00E553DD"/>
    <w:rsid w:val="00E60D9C"/>
    <w:rsid w:val="00E70FD9"/>
    <w:rsid w:val="00E9599B"/>
    <w:rsid w:val="00EB3F7B"/>
    <w:rsid w:val="00ED7AB6"/>
    <w:rsid w:val="00EF3FD9"/>
    <w:rsid w:val="00F06233"/>
    <w:rsid w:val="00F1340A"/>
    <w:rsid w:val="00F21B88"/>
    <w:rsid w:val="00F84B6C"/>
    <w:rsid w:val="00FA2F27"/>
    <w:rsid w:val="00FB22F3"/>
    <w:rsid w:val="00FB3782"/>
    <w:rsid w:val="00FD1E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B5550"/>
  <w15:docId w15:val="{AD763888-5106-4329-98D6-BE5F5BAD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B88"/>
    <w:pPr>
      <w:ind w:left="720"/>
      <w:contextualSpacing/>
    </w:pPr>
  </w:style>
  <w:style w:type="table" w:styleId="TableGrid">
    <w:name w:val="Table Grid"/>
    <w:basedOn w:val="TableNormal"/>
    <w:uiPriority w:val="59"/>
    <w:rsid w:val="008D0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53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3DD"/>
    <w:rPr>
      <w:rFonts w:ascii="Tahoma" w:hAnsi="Tahoma" w:cs="Tahoma"/>
      <w:sz w:val="16"/>
      <w:szCs w:val="16"/>
    </w:rPr>
  </w:style>
  <w:style w:type="paragraph" w:customStyle="1" w:styleId="Default">
    <w:name w:val="Default"/>
    <w:rsid w:val="004A042C"/>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A04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042C"/>
  </w:style>
  <w:style w:type="paragraph" w:styleId="Footer">
    <w:name w:val="footer"/>
    <w:basedOn w:val="Normal"/>
    <w:link w:val="FooterChar"/>
    <w:uiPriority w:val="99"/>
    <w:unhideWhenUsed/>
    <w:rsid w:val="004A04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0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3BDEC-1D24-4A91-98D0-AA899BA7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Errol</dc:creator>
  <cp:lastModifiedBy>Errol Wood</cp:lastModifiedBy>
  <cp:revision>2</cp:revision>
  <cp:lastPrinted>2017-12-13T03:13:00Z</cp:lastPrinted>
  <dcterms:created xsi:type="dcterms:W3CDTF">2018-02-17T03:18:00Z</dcterms:created>
  <dcterms:modified xsi:type="dcterms:W3CDTF">2018-02-17T03:18:00Z</dcterms:modified>
</cp:coreProperties>
</file>